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EB145" w14:textId="3133F0C7" w:rsidR="00571E20" w:rsidRPr="004C55A6" w:rsidRDefault="00571E20" w:rsidP="00CD170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C55A6">
        <w:rPr>
          <w:rFonts w:cstheme="minorHAnsi"/>
          <w:b/>
          <w:sz w:val="24"/>
          <w:szCs w:val="24"/>
        </w:rPr>
        <w:t xml:space="preserve">GIDA GÜVENLİĞİ DERNEĞİ GENÇ ARAŞTIRMACI BİLİMSEL MAKALE </w:t>
      </w:r>
      <w:r w:rsidR="00285507">
        <w:rPr>
          <w:rFonts w:cstheme="minorHAnsi"/>
          <w:b/>
          <w:sz w:val="24"/>
          <w:szCs w:val="24"/>
        </w:rPr>
        <w:t>YARIŞMASI</w:t>
      </w:r>
    </w:p>
    <w:p w14:paraId="30C3693A" w14:textId="77777777" w:rsidR="00571E20" w:rsidRDefault="00210A74" w:rsidP="00CD170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ŞARTNAME</w:t>
      </w:r>
    </w:p>
    <w:p w14:paraId="53A8A2A5" w14:textId="77777777" w:rsidR="00210A74" w:rsidRPr="000404ED" w:rsidRDefault="00210A74" w:rsidP="00210A7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7748636" w14:textId="77777777" w:rsidR="00210A74" w:rsidRPr="000404ED" w:rsidRDefault="00210A74" w:rsidP="00210A7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32E3F42" w14:textId="5717ECC9" w:rsidR="00210A74" w:rsidRDefault="00210A74" w:rsidP="00BB7186">
      <w:pPr>
        <w:spacing w:after="0" w:line="240" w:lineRule="auto"/>
        <w:jc w:val="both"/>
        <w:rPr>
          <w:sz w:val="24"/>
          <w:szCs w:val="24"/>
        </w:rPr>
      </w:pPr>
      <w:r w:rsidRPr="00210A74">
        <w:rPr>
          <w:b/>
          <w:sz w:val="24"/>
          <w:szCs w:val="24"/>
        </w:rPr>
        <w:t>Amaç:</w:t>
      </w:r>
      <w:r w:rsidRPr="000404ED">
        <w:rPr>
          <w:sz w:val="24"/>
          <w:szCs w:val="24"/>
        </w:rPr>
        <w:t xml:space="preserve"> </w:t>
      </w:r>
      <w:r w:rsidR="00DE0079">
        <w:rPr>
          <w:sz w:val="24"/>
          <w:szCs w:val="24"/>
        </w:rPr>
        <w:t xml:space="preserve">Makale </w:t>
      </w:r>
      <w:r w:rsidR="00080C01">
        <w:rPr>
          <w:sz w:val="24"/>
          <w:szCs w:val="24"/>
        </w:rPr>
        <w:t xml:space="preserve">yarışmasının </w:t>
      </w:r>
      <w:r w:rsidR="00DE0079">
        <w:rPr>
          <w:sz w:val="24"/>
          <w:szCs w:val="24"/>
        </w:rPr>
        <w:t xml:space="preserve">amacı gıda güvenliği alanında </w:t>
      </w:r>
      <w:r w:rsidR="00FB7A47">
        <w:rPr>
          <w:sz w:val="24"/>
          <w:szCs w:val="24"/>
        </w:rPr>
        <w:t>çalışmalar yapan</w:t>
      </w:r>
      <w:r w:rsidR="00DE0079">
        <w:rPr>
          <w:sz w:val="24"/>
          <w:szCs w:val="24"/>
        </w:rPr>
        <w:t xml:space="preserve"> g</w:t>
      </w:r>
      <w:r w:rsidR="00DE0079" w:rsidRPr="000404ED">
        <w:rPr>
          <w:sz w:val="24"/>
          <w:szCs w:val="24"/>
        </w:rPr>
        <w:t>enç araştırmacıların desteklenmesi</w:t>
      </w:r>
      <w:r w:rsidR="00DE0079">
        <w:rPr>
          <w:sz w:val="24"/>
          <w:szCs w:val="24"/>
        </w:rPr>
        <w:t>dir. Gıda Güvenliği Derneği, gıda güvenliği alanında</w:t>
      </w:r>
      <w:r w:rsidR="00FB7A47">
        <w:rPr>
          <w:sz w:val="24"/>
          <w:szCs w:val="24"/>
        </w:rPr>
        <w:t xml:space="preserve"> devamlılık arz eden </w:t>
      </w:r>
      <w:r w:rsidR="00DE0079">
        <w:rPr>
          <w:sz w:val="24"/>
          <w:szCs w:val="24"/>
        </w:rPr>
        <w:t>nitelikli araştırmalar</w:t>
      </w:r>
      <w:r w:rsidR="00FB7A47">
        <w:rPr>
          <w:sz w:val="24"/>
          <w:szCs w:val="24"/>
        </w:rPr>
        <w:t>ı özendirme</w:t>
      </w:r>
      <w:r w:rsidR="00DE0079">
        <w:rPr>
          <w:sz w:val="24"/>
          <w:szCs w:val="24"/>
        </w:rPr>
        <w:t xml:space="preserve"> </w:t>
      </w:r>
      <w:r w:rsidR="00FB7A47">
        <w:rPr>
          <w:sz w:val="24"/>
          <w:szCs w:val="24"/>
        </w:rPr>
        <w:t>amacını</w:t>
      </w:r>
      <w:r w:rsidR="00DE0079">
        <w:rPr>
          <w:sz w:val="24"/>
          <w:szCs w:val="24"/>
        </w:rPr>
        <w:t xml:space="preserve"> gütmektedir</w:t>
      </w:r>
      <w:r w:rsidR="00FB7A47">
        <w:rPr>
          <w:sz w:val="24"/>
          <w:szCs w:val="24"/>
        </w:rPr>
        <w:t xml:space="preserve">. Bu </w:t>
      </w:r>
      <w:r w:rsidR="00080C01">
        <w:rPr>
          <w:sz w:val="24"/>
          <w:szCs w:val="24"/>
        </w:rPr>
        <w:t>yarışma</w:t>
      </w:r>
      <w:r w:rsidR="00FB7A47">
        <w:rPr>
          <w:sz w:val="24"/>
          <w:szCs w:val="24"/>
        </w:rPr>
        <w:t xml:space="preserve">, genç araştırıcıların nitelikli çalışmalarının gıda güvenliği süreçlerinin tüm paydaşları tarafından daha görünür kılınmasına katkı sağlamayı da amaçlamaktadır. </w:t>
      </w:r>
    </w:p>
    <w:p w14:paraId="003DC29D" w14:textId="77777777" w:rsidR="00210A74" w:rsidRDefault="00210A74" w:rsidP="00210A74">
      <w:pPr>
        <w:spacing w:after="0" w:line="240" w:lineRule="auto"/>
        <w:rPr>
          <w:sz w:val="24"/>
          <w:szCs w:val="24"/>
        </w:rPr>
      </w:pPr>
    </w:p>
    <w:p w14:paraId="5C5FA945" w14:textId="77777777" w:rsidR="00210A74" w:rsidRDefault="00210A74" w:rsidP="00210A74">
      <w:pPr>
        <w:spacing w:after="0" w:line="240" w:lineRule="auto"/>
        <w:rPr>
          <w:sz w:val="24"/>
          <w:szCs w:val="24"/>
        </w:rPr>
      </w:pPr>
    </w:p>
    <w:p w14:paraId="2BE13940" w14:textId="016DA384" w:rsidR="00210A74" w:rsidRPr="000404ED" w:rsidRDefault="00285507" w:rsidP="00210A74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Başvuru Koşulları</w:t>
      </w:r>
      <w:r w:rsidR="001C56C3">
        <w:rPr>
          <w:sz w:val="24"/>
          <w:szCs w:val="24"/>
        </w:rPr>
        <w:t>:</w:t>
      </w:r>
    </w:p>
    <w:p w14:paraId="7A5E08B7" w14:textId="77777777" w:rsidR="00210A74" w:rsidRPr="000404ED" w:rsidRDefault="00210A74" w:rsidP="00210A74">
      <w:pPr>
        <w:spacing w:after="0" w:line="240" w:lineRule="auto"/>
        <w:rPr>
          <w:sz w:val="24"/>
          <w:szCs w:val="24"/>
        </w:rPr>
      </w:pPr>
    </w:p>
    <w:p w14:paraId="228720E0" w14:textId="476DEF32" w:rsidR="00285507" w:rsidRDefault="00285507" w:rsidP="00F7345A">
      <w:pPr>
        <w:pStyle w:val="ListeParagraf"/>
        <w:numPr>
          <w:ilvl w:val="0"/>
          <w:numId w:val="1"/>
        </w:numPr>
        <w:spacing w:after="240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Başvuru sahibinin </w:t>
      </w:r>
    </w:p>
    <w:p w14:paraId="4B82B664" w14:textId="2316AF57" w:rsidR="00285507" w:rsidRDefault="00285507" w:rsidP="00D37147">
      <w:pPr>
        <w:pStyle w:val="ListeParagraf"/>
        <w:numPr>
          <w:ilvl w:val="1"/>
          <w:numId w:val="3"/>
        </w:numPr>
        <w:spacing w:after="240" w:line="360" w:lineRule="auto"/>
        <w:jc w:val="both"/>
        <w:rPr>
          <w:sz w:val="24"/>
          <w:szCs w:val="24"/>
        </w:rPr>
      </w:pPr>
      <w:r w:rsidRPr="000404ED">
        <w:rPr>
          <w:sz w:val="24"/>
          <w:szCs w:val="24"/>
        </w:rPr>
        <w:t>TC vatandaşı olması</w:t>
      </w:r>
      <w:r>
        <w:rPr>
          <w:sz w:val="24"/>
          <w:szCs w:val="24"/>
        </w:rPr>
        <w:t>,</w:t>
      </w:r>
    </w:p>
    <w:p w14:paraId="288BD784" w14:textId="69B7E6D8" w:rsidR="00285507" w:rsidRDefault="000C28DB" w:rsidP="00D37147">
      <w:pPr>
        <w:pStyle w:val="ListeParagraf"/>
        <w:numPr>
          <w:ilvl w:val="1"/>
          <w:numId w:val="3"/>
        </w:numPr>
        <w:spacing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1991</w:t>
      </w:r>
      <w:r w:rsidRPr="000404ED">
        <w:rPr>
          <w:sz w:val="24"/>
          <w:szCs w:val="24"/>
        </w:rPr>
        <w:t xml:space="preserve"> </w:t>
      </w:r>
      <w:r w:rsidR="00285507" w:rsidRPr="000404ED">
        <w:rPr>
          <w:sz w:val="24"/>
          <w:szCs w:val="24"/>
        </w:rPr>
        <w:t>ve üzeri doğumlu olması</w:t>
      </w:r>
      <w:r w:rsidR="00285507">
        <w:rPr>
          <w:sz w:val="24"/>
          <w:szCs w:val="24"/>
        </w:rPr>
        <w:t>,</w:t>
      </w:r>
    </w:p>
    <w:p w14:paraId="2E6E9C60" w14:textId="2241A9DB" w:rsidR="00285507" w:rsidRDefault="00285507" w:rsidP="00D37147">
      <w:pPr>
        <w:pStyle w:val="ListeParagraf"/>
        <w:numPr>
          <w:ilvl w:val="1"/>
          <w:numId w:val="3"/>
        </w:numPr>
        <w:spacing w:after="240" w:line="360" w:lineRule="auto"/>
        <w:jc w:val="both"/>
        <w:rPr>
          <w:sz w:val="24"/>
          <w:szCs w:val="24"/>
        </w:rPr>
      </w:pPr>
      <w:r w:rsidRPr="000404ED">
        <w:rPr>
          <w:sz w:val="24"/>
          <w:szCs w:val="24"/>
        </w:rPr>
        <w:t>Bilimsel, mesleki ve toplumsal etiğe aykırı davranışlarda bulunmamış olması,</w:t>
      </w:r>
    </w:p>
    <w:p w14:paraId="76BAC046" w14:textId="5AFD3D3D" w:rsidR="00285507" w:rsidRDefault="00285507" w:rsidP="00D37147">
      <w:pPr>
        <w:pStyle w:val="ListeParagraf"/>
        <w:numPr>
          <w:ilvl w:val="1"/>
          <w:numId w:val="3"/>
        </w:numPr>
        <w:spacing w:after="240" w:line="360" w:lineRule="auto"/>
        <w:jc w:val="both"/>
        <w:rPr>
          <w:sz w:val="24"/>
          <w:szCs w:val="24"/>
        </w:rPr>
      </w:pPr>
      <w:r w:rsidRPr="000404ED">
        <w:rPr>
          <w:sz w:val="24"/>
          <w:szCs w:val="24"/>
        </w:rPr>
        <w:t xml:space="preserve">Makalesinin </w:t>
      </w:r>
      <w:r w:rsidRPr="006B5EBB">
        <w:rPr>
          <w:sz w:val="24"/>
          <w:szCs w:val="24"/>
        </w:rPr>
        <w:t>20</w:t>
      </w:r>
      <w:r w:rsidR="006B5EBB" w:rsidRPr="006B5EBB">
        <w:rPr>
          <w:sz w:val="24"/>
          <w:szCs w:val="24"/>
        </w:rPr>
        <w:t>20</w:t>
      </w:r>
      <w:r w:rsidRPr="006B5EBB">
        <w:rPr>
          <w:sz w:val="24"/>
          <w:szCs w:val="24"/>
        </w:rPr>
        <w:t xml:space="preserve"> – 202</w:t>
      </w:r>
      <w:r w:rsidR="006C3AE7">
        <w:rPr>
          <w:sz w:val="24"/>
          <w:szCs w:val="24"/>
        </w:rPr>
        <w:t>6</w:t>
      </w:r>
      <w:r w:rsidRPr="006B5EBB">
        <w:rPr>
          <w:sz w:val="24"/>
          <w:szCs w:val="24"/>
        </w:rPr>
        <w:t xml:space="preserve"> yılları arasında yayınlanmış</w:t>
      </w:r>
      <w:r w:rsidRPr="000404ED">
        <w:rPr>
          <w:sz w:val="24"/>
          <w:szCs w:val="24"/>
        </w:rPr>
        <w:t xml:space="preserve"> ve</w:t>
      </w:r>
      <w:r>
        <w:rPr>
          <w:sz w:val="24"/>
          <w:szCs w:val="24"/>
        </w:rPr>
        <w:t>ya</w:t>
      </w:r>
      <w:r w:rsidRPr="000404ED">
        <w:rPr>
          <w:sz w:val="24"/>
          <w:szCs w:val="24"/>
        </w:rPr>
        <w:t xml:space="preserve"> DOI numarası almış olması</w:t>
      </w:r>
      <w:r w:rsidR="00D37147">
        <w:rPr>
          <w:sz w:val="24"/>
          <w:szCs w:val="24"/>
        </w:rPr>
        <w:t xml:space="preserve"> </w:t>
      </w:r>
    </w:p>
    <w:p w14:paraId="400295D3" w14:textId="65814D36" w:rsidR="00285507" w:rsidRDefault="00285507" w:rsidP="00285507">
      <w:pPr>
        <w:pStyle w:val="ListeParagraf"/>
        <w:spacing w:after="240" w:line="360" w:lineRule="auto"/>
        <w:ind w:left="7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gerekmektedir. </w:t>
      </w:r>
    </w:p>
    <w:p w14:paraId="2889A8F9" w14:textId="5770BBBD" w:rsidR="00210A74" w:rsidRPr="000404ED" w:rsidRDefault="00210A74" w:rsidP="00285507">
      <w:pPr>
        <w:pStyle w:val="ListeParagraf"/>
        <w:spacing w:after="240" w:line="360" w:lineRule="auto"/>
        <w:ind w:left="714"/>
        <w:jc w:val="both"/>
        <w:rPr>
          <w:sz w:val="24"/>
          <w:szCs w:val="24"/>
        </w:rPr>
      </w:pPr>
      <w:r w:rsidRPr="000404ED">
        <w:rPr>
          <w:sz w:val="24"/>
          <w:szCs w:val="24"/>
        </w:rPr>
        <w:t xml:space="preserve">Birden fazla yazarlı makalelerde başvuru </w:t>
      </w:r>
      <w:r w:rsidR="00724135">
        <w:rPr>
          <w:sz w:val="24"/>
          <w:szCs w:val="24"/>
        </w:rPr>
        <w:t>bir</w:t>
      </w:r>
      <w:r w:rsidRPr="000404ED">
        <w:rPr>
          <w:sz w:val="24"/>
          <w:szCs w:val="24"/>
        </w:rPr>
        <w:t xml:space="preserve"> yazar tarafından yapılmalıdır. Diğer yazarların başvuruya dair muvafakatnamesi başvuru ekinde yer almalıdır. Makalenin ödül alması halinde ödülün diğer yazarlar arasında dağıtılması</w:t>
      </w:r>
      <w:r w:rsidR="00724135">
        <w:rPr>
          <w:sz w:val="24"/>
          <w:szCs w:val="24"/>
        </w:rPr>
        <w:t xml:space="preserve"> başvu</w:t>
      </w:r>
      <w:r w:rsidR="00BB7186">
        <w:rPr>
          <w:sz w:val="24"/>
          <w:szCs w:val="24"/>
        </w:rPr>
        <w:t>ran yazarın sorumluluğunda olup</w:t>
      </w:r>
      <w:r w:rsidR="00724135" w:rsidRPr="000404ED">
        <w:rPr>
          <w:sz w:val="24"/>
          <w:szCs w:val="24"/>
        </w:rPr>
        <w:t xml:space="preserve"> Gıda Güvenliği Derneği</w:t>
      </w:r>
      <w:r w:rsidR="00724135">
        <w:rPr>
          <w:sz w:val="24"/>
          <w:szCs w:val="24"/>
        </w:rPr>
        <w:t>’nin ödül paylaşımında bir tasarrufu bulunmamaktadır.</w:t>
      </w:r>
      <w:r w:rsidRPr="000404ED">
        <w:rPr>
          <w:sz w:val="24"/>
          <w:szCs w:val="24"/>
        </w:rPr>
        <w:t xml:space="preserve"> </w:t>
      </w:r>
    </w:p>
    <w:p w14:paraId="442433F2" w14:textId="5D90C481" w:rsidR="00210A74" w:rsidRDefault="00210A74" w:rsidP="00F7345A">
      <w:pPr>
        <w:pStyle w:val="ListeParagraf"/>
        <w:numPr>
          <w:ilvl w:val="0"/>
          <w:numId w:val="1"/>
        </w:numPr>
        <w:spacing w:after="240" w:line="360" w:lineRule="auto"/>
        <w:ind w:left="714" w:hanging="357"/>
        <w:jc w:val="both"/>
        <w:rPr>
          <w:sz w:val="24"/>
          <w:szCs w:val="24"/>
        </w:rPr>
      </w:pPr>
      <w:r w:rsidRPr="000404ED">
        <w:rPr>
          <w:sz w:val="24"/>
          <w:szCs w:val="24"/>
        </w:rPr>
        <w:t>Başvuru dosyalarının eksik olması ve/veya makalede yer alan araştırmanın amaç ve hedeflerinin, başvuru esnasında belirtilen amaç ve hedeflerle örtüşmemesi durumunda, makale</w:t>
      </w:r>
      <w:r w:rsidR="00285507">
        <w:rPr>
          <w:sz w:val="24"/>
          <w:szCs w:val="24"/>
        </w:rPr>
        <w:t xml:space="preserve"> </w:t>
      </w:r>
      <w:r w:rsidRPr="000404ED">
        <w:rPr>
          <w:sz w:val="24"/>
          <w:szCs w:val="24"/>
        </w:rPr>
        <w:t>değerlendirme kapsamı</w:t>
      </w:r>
      <w:r w:rsidR="00285507">
        <w:rPr>
          <w:sz w:val="24"/>
          <w:szCs w:val="24"/>
        </w:rPr>
        <w:t xml:space="preserve"> dışında tutulacaktır. </w:t>
      </w:r>
    </w:p>
    <w:p w14:paraId="0C234025" w14:textId="77777777" w:rsidR="00210A74" w:rsidRDefault="00210A74" w:rsidP="00210A74">
      <w:pPr>
        <w:spacing w:after="0" w:line="240" w:lineRule="auto"/>
        <w:rPr>
          <w:sz w:val="24"/>
          <w:szCs w:val="24"/>
        </w:rPr>
      </w:pPr>
      <w:r w:rsidRPr="00210A74">
        <w:rPr>
          <w:b/>
          <w:sz w:val="24"/>
          <w:szCs w:val="24"/>
        </w:rPr>
        <w:t>Başvuru Süreci:</w:t>
      </w:r>
      <w:r w:rsidRPr="000404ED">
        <w:rPr>
          <w:sz w:val="24"/>
          <w:szCs w:val="24"/>
        </w:rPr>
        <w:t xml:space="preserve"> </w:t>
      </w:r>
    </w:p>
    <w:p w14:paraId="3F607B8C" w14:textId="77777777" w:rsidR="00E219D0" w:rsidRDefault="00E219D0" w:rsidP="00210A74">
      <w:pPr>
        <w:spacing w:after="0" w:line="240" w:lineRule="auto"/>
        <w:rPr>
          <w:sz w:val="24"/>
          <w:szCs w:val="24"/>
        </w:rPr>
      </w:pPr>
    </w:p>
    <w:p w14:paraId="737074DC" w14:textId="6C9D5A09" w:rsidR="00E219D0" w:rsidRPr="00FC56A0" w:rsidRDefault="00E219D0" w:rsidP="00FC56A0">
      <w:pPr>
        <w:spacing w:after="0" w:line="240" w:lineRule="auto"/>
        <w:jc w:val="both"/>
        <w:rPr>
          <w:sz w:val="24"/>
          <w:szCs w:val="24"/>
        </w:rPr>
      </w:pPr>
      <w:hyperlink r:id="rId8" w:history="1">
        <w:r w:rsidRPr="00FC56A0">
          <w:rPr>
            <w:rStyle w:val="Kpr"/>
            <w:sz w:val="24"/>
            <w:szCs w:val="24"/>
          </w:rPr>
          <w:t>https://www.gidaguvenligikongresi.org/</w:t>
        </w:r>
      </w:hyperlink>
      <w:r w:rsidRPr="00FC56A0">
        <w:rPr>
          <w:sz w:val="24"/>
          <w:szCs w:val="24"/>
        </w:rPr>
        <w:t xml:space="preserve"> </w:t>
      </w:r>
      <w:r w:rsidR="00BB7186">
        <w:rPr>
          <w:sz w:val="24"/>
          <w:szCs w:val="24"/>
        </w:rPr>
        <w:t xml:space="preserve">ve </w:t>
      </w:r>
      <w:hyperlink r:id="rId9" w:history="1">
        <w:r w:rsidR="00BB7186" w:rsidRPr="00BC4AAD">
          <w:rPr>
            <w:rStyle w:val="Kpr"/>
            <w:sz w:val="24"/>
            <w:szCs w:val="24"/>
          </w:rPr>
          <w:t>https://ggd.org.tr/</w:t>
        </w:r>
      </w:hyperlink>
      <w:r w:rsidR="00BB7186">
        <w:rPr>
          <w:sz w:val="24"/>
          <w:szCs w:val="24"/>
        </w:rPr>
        <w:t xml:space="preserve"> </w:t>
      </w:r>
      <w:r w:rsidRPr="00FC56A0">
        <w:rPr>
          <w:sz w:val="24"/>
          <w:szCs w:val="24"/>
        </w:rPr>
        <w:t xml:space="preserve">web sitesinde yer alan makale </w:t>
      </w:r>
      <w:r w:rsidR="00080C01">
        <w:rPr>
          <w:sz w:val="24"/>
          <w:szCs w:val="24"/>
        </w:rPr>
        <w:t>yarışması</w:t>
      </w:r>
      <w:r w:rsidR="00080C01" w:rsidRPr="00FC56A0">
        <w:rPr>
          <w:sz w:val="24"/>
          <w:szCs w:val="24"/>
        </w:rPr>
        <w:t xml:space="preserve"> </w:t>
      </w:r>
      <w:r w:rsidR="00080C01">
        <w:rPr>
          <w:sz w:val="24"/>
          <w:szCs w:val="24"/>
        </w:rPr>
        <w:t xml:space="preserve">başvurusu, </w:t>
      </w:r>
      <w:r w:rsidRPr="00FC56A0">
        <w:rPr>
          <w:sz w:val="24"/>
          <w:szCs w:val="24"/>
        </w:rPr>
        <w:t>“</w:t>
      </w:r>
      <w:r w:rsidRPr="00FC56A0">
        <w:rPr>
          <w:b/>
          <w:sz w:val="24"/>
          <w:szCs w:val="24"/>
        </w:rPr>
        <w:t>Başvuru Formu”nun</w:t>
      </w:r>
      <w:r w:rsidRPr="00FC56A0">
        <w:rPr>
          <w:sz w:val="24"/>
          <w:szCs w:val="24"/>
        </w:rPr>
        <w:t xml:space="preserve"> ve </w:t>
      </w:r>
      <w:r w:rsidRPr="00FC56A0">
        <w:rPr>
          <w:b/>
          <w:sz w:val="24"/>
          <w:szCs w:val="24"/>
        </w:rPr>
        <w:t>“Şartname</w:t>
      </w:r>
      <w:r w:rsidR="00FC56A0" w:rsidRPr="00FC56A0">
        <w:rPr>
          <w:b/>
          <w:sz w:val="24"/>
          <w:szCs w:val="24"/>
        </w:rPr>
        <w:t>”</w:t>
      </w:r>
      <w:r w:rsidRPr="00FC56A0">
        <w:rPr>
          <w:b/>
          <w:sz w:val="24"/>
          <w:szCs w:val="24"/>
        </w:rPr>
        <w:t>nin</w:t>
      </w:r>
      <w:r w:rsidRPr="00FC56A0">
        <w:rPr>
          <w:sz w:val="24"/>
          <w:szCs w:val="24"/>
        </w:rPr>
        <w:t xml:space="preserve"> doldurularak başvurulan </w:t>
      </w:r>
      <w:r w:rsidR="00FC56A0" w:rsidRPr="00FC56A0">
        <w:rPr>
          <w:b/>
          <w:sz w:val="24"/>
          <w:szCs w:val="24"/>
        </w:rPr>
        <w:t>“M</w:t>
      </w:r>
      <w:r w:rsidRPr="00FC56A0">
        <w:rPr>
          <w:b/>
          <w:sz w:val="24"/>
          <w:szCs w:val="24"/>
        </w:rPr>
        <w:t>akale</w:t>
      </w:r>
      <w:r w:rsidR="00FC56A0" w:rsidRPr="00FC56A0">
        <w:rPr>
          <w:b/>
          <w:sz w:val="24"/>
          <w:szCs w:val="24"/>
        </w:rPr>
        <w:t>”</w:t>
      </w:r>
      <w:r w:rsidR="00FC56A0" w:rsidRPr="00FC56A0">
        <w:rPr>
          <w:sz w:val="24"/>
          <w:szCs w:val="24"/>
        </w:rPr>
        <w:t xml:space="preserve"> ile</w:t>
      </w:r>
      <w:r w:rsidRPr="00FC56A0">
        <w:rPr>
          <w:sz w:val="24"/>
          <w:szCs w:val="24"/>
        </w:rPr>
        <w:t xml:space="preserve"> birlikte </w:t>
      </w:r>
      <w:hyperlink r:id="rId10" w:history="1">
        <w:r w:rsidRPr="00FC56A0">
          <w:rPr>
            <w:rStyle w:val="Kpr"/>
            <w:sz w:val="24"/>
            <w:szCs w:val="24"/>
          </w:rPr>
          <w:t>muhteber.ersin@ggd.org.tr</w:t>
        </w:r>
      </w:hyperlink>
      <w:r w:rsidRPr="00FC56A0">
        <w:rPr>
          <w:sz w:val="24"/>
          <w:szCs w:val="24"/>
        </w:rPr>
        <w:t xml:space="preserve"> e-posta adresine göndererek gerçekleştirilir. Başvuru ardından 3 gün içerisinde tarafınıza “başvurunuzun alındığına” dair e-posta </w:t>
      </w:r>
      <w:r w:rsidRPr="00FC56A0">
        <w:rPr>
          <w:sz w:val="24"/>
          <w:szCs w:val="24"/>
        </w:rPr>
        <w:lastRenderedPageBreak/>
        <w:t xml:space="preserve">gönderilecektir, e-postanın gelmemesi durumunda 0 216 550 02 73’den iletişime geçmeniz önerilmektedir. </w:t>
      </w:r>
    </w:p>
    <w:p w14:paraId="3C40154E" w14:textId="77777777" w:rsidR="00F54953" w:rsidRDefault="00F54953" w:rsidP="00210A74">
      <w:pPr>
        <w:spacing w:after="0" w:line="240" w:lineRule="auto"/>
        <w:rPr>
          <w:sz w:val="24"/>
          <w:szCs w:val="24"/>
        </w:rPr>
      </w:pPr>
    </w:p>
    <w:p w14:paraId="017E3512" w14:textId="77777777" w:rsidR="00210A74" w:rsidRDefault="00E219D0" w:rsidP="00210A7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Değerlendirme Kriterleri : </w:t>
      </w:r>
    </w:p>
    <w:p w14:paraId="61C69DF2" w14:textId="77777777" w:rsidR="00F7345A" w:rsidRPr="000404ED" w:rsidRDefault="00F7345A" w:rsidP="00210A74">
      <w:pPr>
        <w:spacing w:after="0" w:line="240" w:lineRule="auto"/>
        <w:rPr>
          <w:b/>
          <w:sz w:val="24"/>
          <w:szCs w:val="24"/>
        </w:rPr>
      </w:pPr>
    </w:p>
    <w:p w14:paraId="1BA645C7" w14:textId="77777777" w:rsidR="00210A74" w:rsidRPr="000404ED" w:rsidRDefault="00210A74" w:rsidP="00210A74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89"/>
        <w:gridCol w:w="5103"/>
        <w:gridCol w:w="1270"/>
      </w:tblGrid>
      <w:tr w:rsidR="00210A74" w:rsidRPr="000404ED" w14:paraId="0DE9D30E" w14:textId="77777777" w:rsidTr="00210A74">
        <w:trPr>
          <w:trHeight w:val="567"/>
        </w:trPr>
        <w:tc>
          <w:tcPr>
            <w:tcW w:w="2689" w:type="dxa"/>
            <w:shd w:val="clear" w:color="auto" w:fill="DEEAF6" w:themeFill="accent1" w:themeFillTint="33"/>
          </w:tcPr>
          <w:p w14:paraId="54CFA1B5" w14:textId="77777777" w:rsidR="00210A74" w:rsidRPr="00210A74" w:rsidRDefault="00210A74" w:rsidP="00B0594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10A74">
              <w:rPr>
                <w:rFonts w:cstheme="minorHAnsi"/>
                <w:b/>
                <w:sz w:val="24"/>
                <w:szCs w:val="24"/>
              </w:rPr>
              <w:t>Kriter Başlığı</w:t>
            </w:r>
          </w:p>
        </w:tc>
        <w:tc>
          <w:tcPr>
            <w:tcW w:w="5103" w:type="dxa"/>
            <w:shd w:val="clear" w:color="auto" w:fill="DEEAF6" w:themeFill="accent1" w:themeFillTint="33"/>
          </w:tcPr>
          <w:p w14:paraId="3C7B825B" w14:textId="77777777" w:rsidR="00210A74" w:rsidRPr="00210A74" w:rsidRDefault="00210A74" w:rsidP="00B0594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10A74">
              <w:rPr>
                <w:rFonts w:cstheme="minorHAnsi"/>
                <w:b/>
                <w:sz w:val="24"/>
                <w:szCs w:val="24"/>
              </w:rPr>
              <w:t>Kriter Detayı</w:t>
            </w:r>
          </w:p>
        </w:tc>
        <w:tc>
          <w:tcPr>
            <w:tcW w:w="1270" w:type="dxa"/>
            <w:shd w:val="clear" w:color="auto" w:fill="DEEAF6" w:themeFill="accent1" w:themeFillTint="33"/>
          </w:tcPr>
          <w:p w14:paraId="6944C296" w14:textId="77777777" w:rsidR="00210A74" w:rsidRPr="00210A74" w:rsidRDefault="00210A74" w:rsidP="00B0594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10A74">
              <w:rPr>
                <w:rFonts w:cstheme="minorHAnsi"/>
                <w:b/>
                <w:sz w:val="24"/>
                <w:szCs w:val="24"/>
              </w:rPr>
              <w:t>Puan</w:t>
            </w:r>
          </w:p>
        </w:tc>
      </w:tr>
      <w:tr w:rsidR="00210A74" w:rsidRPr="000404ED" w14:paraId="7996CD24" w14:textId="77777777" w:rsidTr="00210A74">
        <w:trPr>
          <w:trHeight w:val="567"/>
        </w:trPr>
        <w:tc>
          <w:tcPr>
            <w:tcW w:w="2689" w:type="dxa"/>
            <w:shd w:val="clear" w:color="auto" w:fill="DEEAF6" w:themeFill="accent1" w:themeFillTint="33"/>
          </w:tcPr>
          <w:p w14:paraId="5E527C67" w14:textId="77777777" w:rsidR="00210A74" w:rsidRPr="00210A74" w:rsidRDefault="00210A74" w:rsidP="00B05946">
            <w:pPr>
              <w:rPr>
                <w:rFonts w:cstheme="minorHAnsi"/>
                <w:b/>
                <w:sz w:val="24"/>
                <w:szCs w:val="24"/>
              </w:rPr>
            </w:pPr>
            <w:r w:rsidRPr="00210A74">
              <w:rPr>
                <w:b/>
                <w:sz w:val="24"/>
                <w:szCs w:val="24"/>
              </w:rPr>
              <w:t>Makalenin Yayınlandığı Derginin Çeyreklik Dilimi</w:t>
            </w:r>
          </w:p>
        </w:tc>
        <w:tc>
          <w:tcPr>
            <w:tcW w:w="5103" w:type="dxa"/>
          </w:tcPr>
          <w:p w14:paraId="1D7B5DBA" w14:textId="77777777" w:rsidR="00210A74" w:rsidRPr="000404ED" w:rsidRDefault="00210A74" w:rsidP="00B05946">
            <w:pPr>
              <w:rPr>
                <w:sz w:val="24"/>
                <w:szCs w:val="24"/>
              </w:rPr>
            </w:pPr>
            <w:r w:rsidRPr="000404ED">
              <w:rPr>
                <w:sz w:val="24"/>
                <w:szCs w:val="24"/>
              </w:rPr>
              <w:sym w:font="Symbol" w:char="F0B7"/>
            </w:r>
            <w:r w:rsidRPr="000404ED">
              <w:rPr>
                <w:sz w:val="24"/>
                <w:szCs w:val="24"/>
              </w:rPr>
              <w:t xml:space="preserve"> Web of Science veri tabanına göre makalenin yayınlandığı derginin çeyreklik (Q) değeri* </w:t>
            </w:r>
          </w:p>
          <w:p w14:paraId="20C76809" w14:textId="77777777" w:rsidR="00210A74" w:rsidRPr="000404ED" w:rsidRDefault="00210A74" w:rsidP="00B05946">
            <w:pPr>
              <w:rPr>
                <w:sz w:val="24"/>
                <w:szCs w:val="24"/>
              </w:rPr>
            </w:pPr>
            <w:r w:rsidRPr="000404ED">
              <w:rPr>
                <w:sz w:val="24"/>
                <w:szCs w:val="24"/>
              </w:rPr>
              <w:sym w:font="Symbol" w:char="F0B7"/>
            </w:r>
            <w:r w:rsidRPr="000404ED">
              <w:rPr>
                <w:sz w:val="24"/>
                <w:szCs w:val="24"/>
              </w:rPr>
              <w:t xml:space="preserve"> Q1 – 5 puan </w:t>
            </w:r>
          </w:p>
          <w:p w14:paraId="1CEEF557" w14:textId="77777777" w:rsidR="00210A74" w:rsidRPr="000404ED" w:rsidRDefault="00210A74" w:rsidP="00B05946">
            <w:pPr>
              <w:rPr>
                <w:sz w:val="24"/>
                <w:szCs w:val="24"/>
              </w:rPr>
            </w:pPr>
            <w:r w:rsidRPr="000404ED">
              <w:rPr>
                <w:sz w:val="24"/>
                <w:szCs w:val="24"/>
              </w:rPr>
              <w:sym w:font="Symbol" w:char="F0B7"/>
            </w:r>
            <w:r w:rsidRPr="000404ED">
              <w:rPr>
                <w:sz w:val="24"/>
                <w:szCs w:val="24"/>
              </w:rPr>
              <w:t xml:space="preserve"> Q2 – 3 puan </w:t>
            </w:r>
          </w:p>
          <w:p w14:paraId="1646DCCE" w14:textId="77777777" w:rsidR="00210A74" w:rsidRPr="000404ED" w:rsidRDefault="00210A74" w:rsidP="00B05946">
            <w:pPr>
              <w:rPr>
                <w:sz w:val="24"/>
                <w:szCs w:val="24"/>
              </w:rPr>
            </w:pPr>
            <w:r w:rsidRPr="000404ED">
              <w:rPr>
                <w:sz w:val="24"/>
                <w:szCs w:val="24"/>
              </w:rPr>
              <w:sym w:font="Symbol" w:char="F0B7"/>
            </w:r>
            <w:r w:rsidRPr="000404ED">
              <w:rPr>
                <w:sz w:val="24"/>
                <w:szCs w:val="24"/>
              </w:rPr>
              <w:t xml:space="preserve"> Q3 – 2 puan </w:t>
            </w:r>
          </w:p>
          <w:p w14:paraId="37918847" w14:textId="77777777" w:rsidR="00210A74" w:rsidRPr="000404ED" w:rsidRDefault="00210A74" w:rsidP="00B05946">
            <w:pPr>
              <w:rPr>
                <w:rFonts w:cstheme="minorHAnsi"/>
                <w:sz w:val="24"/>
                <w:szCs w:val="24"/>
              </w:rPr>
            </w:pPr>
            <w:r w:rsidRPr="000404ED">
              <w:rPr>
                <w:sz w:val="24"/>
                <w:szCs w:val="24"/>
              </w:rPr>
              <w:sym w:font="Symbol" w:char="F0B7"/>
            </w:r>
            <w:r w:rsidRPr="000404ED">
              <w:rPr>
                <w:sz w:val="24"/>
                <w:szCs w:val="24"/>
              </w:rPr>
              <w:t xml:space="preserve"> Q4 – 1 puan</w:t>
            </w:r>
          </w:p>
        </w:tc>
        <w:tc>
          <w:tcPr>
            <w:tcW w:w="1270" w:type="dxa"/>
          </w:tcPr>
          <w:p w14:paraId="6525E388" w14:textId="77777777" w:rsidR="00210A74" w:rsidRPr="000404ED" w:rsidRDefault="00210A74" w:rsidP="00B05946">
            <w:pPr>
              <w:rPr>
                <w:rFonts w:cstheme="minorHAnsi"/>
                <w:sz w:val="24"/>
                <w:szCs w:val="24"/>
              </w:rPr>
            </w:pPr>
            <w:r w:rsidRPr="000404ED">
              <w:rPr>
                <w:rFonts w:cstheme="minorHAnsi"/>
                <w:sz w:val="24"/>
                <w:szCs w:val="24"/>
              </w:rPr>
              <w:t>… / 5</w:t>
            </w:r>
          </w:p>
        </w:tc>
      </w:tr>
      <w:tr w:rsidR="00210A74" w:rsidRPr="000404ED" w14:paraId="6BD5CF16" w14:textId="77777777" w:rsidTr="00210A74">
        <w:trPr>
          <w:trHeight w:val="567"/>
        </w:trPr>
        <w:tc>
          <w:tcPr>
            <w:tcW w:w="2689" w:type="dxa"/>
            <w:shd w:val="clear" w:color="auto" w:fill="DEEAF6" w:themeFill="accent1" w:themeFillTint="33"/>
          </w:tcPr>
          <w:p w14:paraId="2948DE22" w14:textId="7FBD049D" w:rsidR="00210A74" w:rsidRPr="00210A74" w:rsidRDefault="00210A74" w:rsidP="00B05946">
            <w:pPr>
              <w:rPr>
                <w:rFonts w:cstheme="minorHAnsi"/>
                <w:b/>
                <w:sz w:val="24"/>
                <w:szCs w:val="24"/>
              </w:rPr>
            </w:pPr>
            <w:r w:rsidRPr="00210A74">
              <w:rPr>
                <w:rFonts w:cstheme="minorHAnsi"/>
                <w:b/>
                <w:sz w:val="24"/>
                <w:szCs w:val="24"/>
              </w:rPr>
              <w:t>Makalenin Gıda Güvenliği</w:t>
            </w:r>
            <w:r w:rsidR="006675EC">
              <w:rPr>
                <w:rFonts w:cstheme="minorHAnsi"/>
                <w:b/>
                <w:sz w:val="24"/>
                <w:szCs w:val="24"/>
              </w:rPr>
              <w:t xml:space="preserve">ne </w:t>
            </w:r>
            <w:r w:rsidRPr="00210A74">
              <w:rPr>
                <w:rFonts w:cstheme="minorHAnsi"/>
                <w:b/>
                <w:sz w:val="24"/>
                <w:szCs w:val="24"/>
              </w:rPr>
              <w:t>Uygunluğu</w:t>
            </w:r>
          </w:p>
        </w:tc>
        <w:tc>
          <w:tcPr>
            <w:tcW w:w="5103" w:type="dxa"/>
          </w:tcPr>
          <w:p w14:paraId="6B7E8229" w14:textId="77777777" w:rsidR="00724135" w:rsidRDefault="00210A74" w:rsidP="00B05946">
            <w:pPr>
              <w:rPr>
                <w:sz w:val="24"/>
                <w:szCs w:val="24"/>
              </w:rPr>
            </w:pPr>
            <w:r w:rsidRPr="000404ED">
              <w:rPr>
                <w:sz w:val="24"/>
                <w:szCs w:val="24"/>
              </w:rPr>
              <w:sym w:font="Symbol" w:char="F0B7"/>
            </w:r>
            <w:r w:rsidRPr="000404ED">
              <w:rPr>
                <w:sz w:val="24"/>
                <w:szCs w:val="24"/>
              </w:rPr>
              <w:t xml:space="preserve"> </w:t>
            </w:r>
            <w:r w:rsidR="00724135">
              <w:rPr>
                <w:sz w:val="24"/>
                <w:szCs w:val="24"/>
              </w:rPr>
              <w:t xml:space="preserve">Makalenin gıda güvenliği ile direkt ilişkisi </w:t>
            </w:r>
          </w:p>
          <w:p w14:paraId="0F479C7F" w14:textId="4BB045A3" w:rsidR="00210A74" w:rsidRPr="000404ED" w:rsidRDefault="00210A74" w:rsidP="00B0594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0" w:type="dxa"/>
          </w:tcPr>
          <w:p w14:paraId="494B6105" w14:textId="77777777" w:rsidR="00210A74" w:rsidRPr="000404ED" w:rsidRDefault="00210A74" w:rsidP="00B05946">
            <w:pPr>
              <w:rPr>
                <w:rFonts w:cstheme="minorHAnsi"/>
                <w:sz w:val="24"/>
                <w:szCs w:val="24"/>
              </w:rPr>
            </w:pPr>
            <w:r w:rsidRPr="000404ED">
              <w:rPr>
                <w:rFonts w:cstheme="minorHAnsi"/>
                <w:sz w:val="24"/>
                <w:szCs w:val="24"/>
              </w:rPr>
              <w:t>… / 20</w:t>
            </w:r>
          </w:p>
        </w:tc>
      </w:tr>
      <w:tr w:rsidR="00210A74" w:rsidRPr="000404ED" w14:paraId="3D1AF931" w14:textId="77777777" w:rsidTr="00210A74">
        <w:trPr>
          <w:trHeight w:val="567"/>
        </w:trPr>
        <w:tc>
          <w:tcPr>
            <w:tcW w:w="2689" w:type="dxa"/>
            <w:shd w:val="clear" w:color="auto" w:fill="DEEAF6" w:themeFill="accent1" w:themeFillTint="33"/>
          </w:tcPr>
          <w:p w14:paraId="047669C5" w14:textId="77777777" w:rsidR="00210A74" w:rsidRPr="00210A74" w:rsidRDefault="00210A74" w:rsidP="00B05946">
            <w:pPr>
              <w:rPr>
                <w:rFonts w:cstheme="minorHAnsi"/>
                <w:b/>
                <w:sz w:val="24"/>
                <w:szCs w:val="24"/>
              </w:rPr>
            </w:pPr>
            <w:r w:rsidRPr="00210A74">
              <w:rPr>
                <w:rFonts w:cstheme="minorHAnsi"/>
                <w:b/>
                <w:sz w:val="24"/>
                <w:szCs w:val="24"/>
              </w:rPr>
              <w:t xml:space="preserve">Makalenin Çıktıları </w:t>
            </w:r>
          </w:p>
        </w:tc>
        <w:tc>
          <w:tcPr>
            <w:tcW w:w="5103" w:type="dxa"/>
          </w:tcPr>
          <w:p w14:paraId="4DC457E6" w14:textId="77777777" w:rsidR="00210A74" w:rsidRPr="000404ED" w:rsidRDefault="00210A74" w:rsidP="00B05946">
            <w:pPr>
              <w:rPr>
                <w:sz w:val="24"/>
                <w:szCs w:val="24"/>
              </w:rPr>
            </w:pPr>
            <w:r w:rsidRPr="000404ED">
              <w:rPr>
                <w:sz w:val="24"/>
                <w:szCs w:val="24"/>
              </w:rPr>
              <w:sym w:font="Symbol" w:char="F0B7"/>
            </w:r>
            <w:r w:rsidRPr="000404ED">
              <w:rPr>
                <w:sz w:val="24"/>
                <w:szCs w:val="24"/>
              </w:rPr>
              <w:t xml:space="preserve"> Çalışmanın gerçekleştirilmesindeki amaç ile elde edilen bulgular arasındaki bağlantı </w:t>
            </w:r>
          </w:p>
          <w:p w14:paraId="006CE847" w14:textId="0C5838CE" w:rsidR="00210A74" w:rsidRPr="000404ED" w:rsidRDefault="00210A74" w:rsidP="00B0594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0" w:type="dxa"/>
          </w:tcPr>
          <w:p w14:paraId="6D179779" w14:textId="77777777" w:rsidR="00210A74" w:rsidRPr="000404ED" w:rsidRDefault="00210A74" w:rsidP="00B05946">
            <w:pPr>
              <w:rPr>
                <w:rFonts w:cstheme="minorHAnsi"/>
                <w:sz w:val="24"/>
                <w:szCs w:val="24"/>
              </w:rPr>
            </w:pPr>
            <w:r w:rsidRPr="000404ED">
              <w:rPr>
                <w:rFonts w:cstheme="minorHAnsi"/>
                <w:sz w:val="24"/>
                <w:szCs w:val="24"/>
              </w:rPr>
              <w:t>… / 15</w:t>
            </w:r>
          </w:p>
        </w:tc>
      </w:tr>
      <w:tr w:rsidR="00210A74" w:rsidRPr="000404ED" w14:paraId="0D7424D8" w14:textId="77777777" w:rsidTr="00210A74">
        <w:trPr>
          <w:trHeight w:val="567"/>
        </w:trPr>
        <w:tc>
          <w:tcPr>
            <w:tcW w:w="2689" w:type="dxa"/>
            <w:shd w:val="clear" w:color="auto" w:fill="DEEAF6" w:themeFill="accent1" w:themeFillTint="33"/>
          </w:tcPr>
          <w:p w14:paraId="4ED691F6" w14:textId="77777777" w:rsidR="00210A74" w:rsidRPr="00210A74" w:rsidRDefault="00210A74" w:rsidP="00B05946">
            <w:pPr>
              <w:rPr>
                <w:rFonts w:cstheme="minorHAnsi"/>
                <w:b/>
                <w:sz w:val="24"/>
                <w:szCs w:val="24"/>
              </w:rPr>
            </w:pPr>
            <w:r w:rsidRPr="00210A74">
              <w:rPr>
                <w:rFonts w:cstheme="minorHAnsi"/>
                <w:b/>
                <w:sz w:val="24"/>
                <w:szCs w:val="24"/>
              </w:rPr>
              <w:t>Çalışmanın Gıda Güvenliği Alanında Geleceğe Yönelik Olası Etkileri</w:t>
            </w:r>
          </w:p>
        </w:tc>
        <w:tc>
          <w:tcPr>
            <w:tcW w:w="5103" w:type="dxa"/>
          </w:tcPr>
          <w:p w14:paraId="18AA56F2" w14:textId="74E2573C" w:rsidR="00210A74" w:rsidRPr="000404ED" w:rsidRDefault="00724135" w:rsidP="00BB7186">
            <w:pPr>
              <w:rPr>
                <w:rFonts w:cstheme="minorHAnsi"/>
                <w:sz w:val="24"/>
                <w:szCs w:val="24"/>
              </w:rPr>
            </w:pPr>
            <w:r w:rsidRPr="000404ED">
              <w:rPr>
                <w:sz w:val="24"/>
                <w:szCs w:val="24"/>
              </w:rPr>
              <w:t xml:space="preserve">Makalenin, </w:t>
            </w:r>
            <w:r>
              <w:rPr>
                <w:sz w:val="24"/>
                <w:szCs w:val="24"/>
              </w:rPr>
              <w:t>gıda güvenliği alanındaki somut katkıları</w:t>
            </w:r>
            <w:r w:rsidRPr="000404ED" w:rsidDel="00724135">
              <w:rPr>
                <w:sz w:val="24"/>
                <w:szCs w:val="24"/>
              </w:rPr>
              <w:t xml:space="preserve"> </w:t>
            </w:r>
            <w:r w:rsidR="00501A04">
              <w:rPr>
                <w:sz w:val="24"/>
                <w:szCs w:val="24"/>
              </w:rPr>
              <w:t xml:space="preserve">ve </w:t>
            </w:r>
            <w:r w:rsidR="00501A04" w:rsidRPr="000404ED">
              <w:rPr>
                <w:sz w:val="24"/>
                <w:szCs w:val="24"/>
              </w:rPr>
              <w:t>yeni araştırmaları</w:t>
            </w:r>
            <w:r w:rsidR="006675EC">
              <w:rPr>
                <w:sz w:val="24"/>
                <w:szCs w:val="24"/>
              </w:rPr>
              <w:t xml:space="preserve"> ve gelişmeleri </w:t>
            </w:r>
            <w:r w:rsidR="00501A04" w:rsidRPr="000404ED">
              <w:rPr>
                <w:sz w:val="24"/>
                <w:szCs w:val="24"/>
              </w:rPr>
              <w:t>teşvik etme</w:t>
            </w:r>
            <w:r w:rsidR="00501A04">
              <w:rPr>
                <w:sz w:val="24"/>
                <w:szCs w:val="24"/>
              </w:rPr>
              <w:t xml:space="preserve"> gücü</w:t>
            </w:r>
          </w:p>
        </w:tc>
        <w:tc>
          <w:tcPr>
            <w:tcW w:w="1270" w:type="dxa"/>
          </w:tcPr>
          <w:p w14:paraId="59D64DD1" w14:textId="77777777" w:rsidR="00210A74" w:rsidRPr="000404ED" w:rsidRDefault="00210A74" w:rsidP="00B05946">
            <w:pPr>
              <w:rPr>
                <w:rFonts w:cstheme="minorHAnsi"/>
                <w:sz w:val="24"/>
                <w:szCs w:val="24"/>
              </w:rPr>
            </w:pPr>
            <w:r w:rsidRPr="000404ED">
              <w:rPr>
                <w:rFonts w:cstheme="minorHAnsi"/>
                <w:sz w:val="24"/>
                <w:szCs w:val="24"/>
              </w:rPr>
              <w:t>… / 25</w:t>
            </w:r>
          </w:p>
        </w:tc>
      </w:tr>
      <w:tr w:rsidR="00210A74" w:rsidRPr="000404ED" w14:paraId="1EF29F8B" w14:textId="77777777" w:rsidTr="00210A74">
        <w:trPr>
          <w:trHeight w:val="567"/>
        </w:trPr>
        <w:tc>
          <w:tcPr>
            <w:tcW w:w="2689" w:type="dxa"/>
            <w:shd w:val="clear" w:color="auto" w:fill="DEEAF6" w:themeFill="accent1" w:themeFillTint="33"/>
          </w:tcPr>
          <w:p w14:paraId="3BB624BF" w14:textId="0A94037D" w:rsidR="00210A74" w:rsidRPr="00210A74" w:rsidRDefault="00210A74" w:rsidP="00B05946">
            <w:pPr>
              <w:rPr>
                <w:rFonts w:cstheme="minorHAnsi"/>
                <w:b/>
                <w:sz w:val="24"/>
                <w:szCs w:val="24"/>
              </w:rPr>
            </w:pPr>
            <w:r w:rsidRPr="00210A74">
              <w:rPr>
                <w:rFonts w:cstheme="minorHAnsi"/>
                <w:b/>
                <w:sz w:val="24"/>
                <w:szCs w:val="24"/>
              </w:rPr>
              <w:t>Çalışmanın</w:t>
            </w:r>
            <w:r w:rsidR="006675EC">
              <w:rPr>
                <w:rFonts w:cstheme="minorHAnsi"/>
                <w:b/>
                <w:sz w:val="24"/>
                <w:szCs w:val="24"/>
              </w:rPr>
              <w:t xml:space="preserve"> Uygulamaya </w:t>
            </w:r>
            <w:r w:rsidRPr="00210A74">
              <w:rPr>
                <w:rFonts w:cstheme="minorHAnsi"/>
                <w:b/>
                <w:sz w:val="24"/>
                <w:szCs w:val="24"/>
              </w:rPr>
              <w:t>Aktarılabilirliği</w:t>
            </w:r>
          </w:p>
        </w:tc>
        <w:tc>
          <w:tcPr>
            <w:tcW w:w="5103" w:type="dxa"/>
          </w:tcPr>
          <w:p w14:paraId="570363A1" w14:textId="3EB99B94" w:rsidR="00210A74" w:rsidRPr="000404ED" w:rsidRDefault="00210A74" w:rsidP="00B05946">
            <w:pPr>
              <w:rPr>
                <w:sz w:val="24"/>
                <w:szCs w:val="24"/>
              </w:rPr>
            </w:pPr>
            <w:r w:rsidRPr="000404ED">
              <w:rPr>
                <w:sz w:val="24"/>
                <w:szCs w:val="24"/>
              </w:rPr>
              <w:sym w:font="Symbol" w:char="F0B7"/>
            </w:r>
            <w:r w:rsidRPr="000404ED">
              <w:rPr>
                <w:sz w:val="24"/>
                <w:szCs w:val="24"/>
              </w:rPr>
              <w:t xml:space="preserve"> </w:t>
            </w:r>
            <w:r w:rsidR="00724135">
              <w:rPr>
                <w:sz w:val="24"/>
                <w:szCs w:val="24"/>
              </w:rPr>
              <w:t>Makale çıktılarının gıda gü</w:t>
            </w:r>
            <w:r w:rsidR="00DC3BF3">
              <w:rPr>
                <w:sz w:val="24"/>
                <w:szCs w:val="24"/>
              </w:rPr>
              <w:t>v</w:t>
            </w:r>
            <w:r w:rsidR="00724135">
              <w:rPr>
                <w:sz w:val="24"/>
                <w:szCs w:val="24"/>
              </w:rPr>
              <w:t>enliği alanındaki bir soruna somut çözümler üretme potansiyeli</w:t>
            </w:r>
          </w:p>
          <w:p w14:paraId="38120615" w14:textId="1716DE37" w:rsidR="00210A74" w:rsidRPr="000404ED" w:rsidRDefault="00210A74" w:rsidP="00B05946">
            <w:pPr>
              <w:rPr>
                <w:rFonts w:cstheme="minorHAnsi"/>
                <w:sz w:val="24"/>
                <w:szCs w:val="24"/>
              </w:rPr>
            </w:pPr>
            <w:r w:rsidRPr="000404ED">
              <w:rPr>
                <w:sz w:val="24"/>
                <w:szCs w:val="24"/>
              </w:rPr>
              <w:sym w:font="Symbol" w:char="F0B7"/>
            </w:r>
            <w:r w:rsidRPr="000404ED">
              <w:rPr>
                <w:sz w:val="24"/>
                <w:szCs w:val="24"/>
              </w:rPr>
              <w:t xml:space="preserve"> </w:t>
            </w:r>
            <w:r w:rsidR="00724135">
              <w:rPr>
                <w:sz w:val="24"/>
                <w:szCs w:val="24"/>
              </w:rPr>
              <w:t>Çıktıların ilgili alanlarda kullanılabilir olması</w:t>
            </w:r>
          </w:p>
        </w:tc>
        <w:tc>
          <w:tcPr>
            <w:tcW w:w="1270" w:type="dxa"/>
          </w:tcPr>
          <w:p w14:paraId="2680315E" w14:textId="77777777" w:rsidR="00210A74" w:rsidRPr="000404ED" w:rsidRDefault="00210A74" w:rsidP="00B05946">
            <w:pPr>
              <w:rPr>
                <w:rFonts w:cstheme="minorHAnsi"/>
                <w:sz w:val="24"/>
                <w:szCs w:val="24"/>
              </w:rPr>
            </w:pPr>
            <w:r w:rsidRPr="000404ED">
              <w:rPr>
                <w:rFonts w:cstheme="minorHAnsi"/>
                <w:sz w:val="24"/>
                <w:szCs w:val="24"/>
              </w:rPr>
              <w:t>… / 25</w:t>
            </w:r>
          </w:p>
        </w:tc>
      </w:tr>
      <w:tr w:rsidR="00210A74" w:rsidRPr="000404ED" w14:paraId="37BFC44F" w14:textId="77777777" w:rsidTr="00210A74">
        <w:trPr>
          <w:trHeight w:val="567"/>
        </w:trPr>
        <w:tc>
          <w:tcPr>
            <w:tcW w:w="2689" w:type="dxa"/>
            <w:shd w:val="clear" w:color="auto" w:fill="DEEAF6" w:themeFill="accent1" w:themeFillTint="33"/>
          </w:tcPr>
          <w:p w14:paraId="5CDF5A68" w14:textId="77777777" w:rsidR="00210A74" w:rsidRPr="00210A74" w:rsidRDefault="00210A74" w:rsidP="00B05946">
            <w:pPr>
              <w:rPr>
                <w:rFonts w:cstheme="minorHAnsi"/>
                <w:b/>
                <w:sz w:val="24"/>
                <w:szCs w:val="24"/>
              </w:rPr>
            </w:pPr>
            <w:r w:rsidRPr="00210A74">
              <w:rPr>
                <w:rFonts w:cstheme="minorHAnsi"/>
                <w:b/>
                <w:sz w:val="24"/>
                <w:szCs w:val="24"/>
              </w:rPr>
              <w:t xml:space="preserve">Jüri Özel Puanı </w:t>
            </w:r>
          </w:p>
        </w:tc>
        <w:tc>
          <w:tcPr>
            <w:tcW w:w="5103" w:type="dxa"/>
          </w:tcPr>
          <w:p w14:paraId="7F9C297C" w14:textId="63579FB2" w:rsidR="00210A74" w:rsidRPr="000404ED" w:rsidRDefault="00210A74" w:rsidP="00B05946">
            <w:pPr>
              <w:rPr>
                <w:rFonts w:cstheme="minorHAnsi"/>
                <w:sz w:val="24"/>
                <w:szCs w:val="24"/>
              </w:rPr>
            </w:pPr>
            <w:r w:rsidRPr="000404ED">
              <w:rPr>
                <w:sz w:val="24"/>
                <w:szCs w:val="24"/>
              </w:rPr>
              <w:sym w:font="Symbol" w:char="F0B7"/>
            </w:r>
            <w:r w:rsidRPr="000404ED">
              <w:rPr>
                <w:sz w:val="24"/>
                <w:szCs w:val="24"/>
              </w:rPr>
              <w:t xml:space="preserve"> </w:t>
            </w:r>
            <w:r w:rsidR="006675EC">
              <w:rPr>
                <w:sz w:val="24"/>
                <w:szCs w:val="24"/>
              </w:rPr>
              <w:t>Jüri üyelerinin tamamının makale hakkındaki genel değerlendirmesinin ortalaması</w:t>
            </w:r>
          </w:p>
        </w:tc>
        <w:tc>
          <w:tcPr>
            <w:tcW w:w="1270" w:type="dxa"/>
          </w:tcPr>
          <w:p w14:paraId="24F074DB" w14:textId="77777777" w:rsidR="00210A74" w:rsidRPr="000404ED" w:rsidRDefault="00210A74" w:rsidP="00B05946">
            <w:pPr>
              <w:rPr>
                <w:rFonts w:cstheme="minorHAnsi"/>
                <w:sz w:val="24"/>
                <w:szCs w:val="24"/>
              </w:rPr>
            </w:pPr>
            <w:r w:rsidRPr="000404ED">
              <w:rPr>
                <w:rFonts w:cstheme="minorHAnsi"/>
                <w:sz w:val="24"/>
                <w:szCs w:val="24"/>
              </w:rPr>
              <w:t>… / 10</w:t>
            </w:r>
          </w:p>
        </w:tc>
      </w:tr>
      <w:tr w:rsidR="00210A74" w:rsidRPr="000404ED" w14:paraId="17E79A96" w14:textId="77777777" w:rsidTr="00210A74">
        <w:trPr>
          <w:trHeight w:val="567"/>
        </w:trPr>
        <w:tc>
          <w:tcPr>
            <w:tcW w:w="7792" w:type="dxa"/>
            <w:gridSpan w:val="2"/>
            <w:shd w:val="clear" w:color="auto" w:fill="DEEAF6" w:themeFill="accent1" w:themeFillTint="33"/>
          </w:tcPr>
          <w:p w14:paraId="52DAE0DE" w14:textId="77777777" w:rsidR="00210A74" w:rsidRPr="000404ED" w:rsidRDefault="00210A74" w:rsidP="00B05946">
            <w:pPr>
              <w:rPr>
                <w:b/>
                <w:sz w:val="24"/>
                <w:szCs w:val="24"/>
              </w:rPr>
            </w:pPr>
            <w:r w:rsidRPr="000404ED">
              <w:rPr>
                <w:b/>
                <w:sz w:val="24"/>
                <w:szCs w:val="24"/>
              </w:rPr>
              <w:t>TOPLAM</w:t>
            </w:r>
          </w:p>
        </w:tc>
        <w:tc>
          <w:tcPr>
            <w:tcW w:w="1270" w:type="dxa"/>
            <w:shd w:val="clear" w:color="auto" w:fill="DEEAF6" w:themeFill="accent1" w:themeFillTint="33"/>
          </w:tcPr>
          <w:p w14:paraId="31F17A25" w14:textId="77777777" w:rsidR="00210A74" w:rsidRPr="000404ED" w:rsidRDefault="00210A74" w:rsidP="00B05946">
            <w:pPr>
              <w:rPr>
                <w:rFonts w:cstheme="minorHAnsi"/>
                <w:b/>
                <w:sz w:val="24"/>
                <w:szCs w:val="24"/>
              </w:rPr>
            </w:pPr>
            <w:r w:rsidRPr="000404ED">
              <w:rPr>
                <w:rFonts w:cstheme="minorHAnsi"/>
                <w:b/>
                <w:sz w:val="24"/>
                <w:szCs w:val="24"/>
              </w:rPr>
              <w:t>… / 100</w:t>
            </w:r>
          </w:p>
        </w:tc>
      </w:tr>
    </w:tbl>
    <w:p w14:paraId="2B22285D" w14:textId="77777777" w:rsidR="00210A74" w:rsidRPr="000404ED" w:rsidRDefault="00210A74" w:rsidP="00210A74">
      <w:pPr>
        <w:spacing w:after="0" w:line="240" w:lineRule="auto"/>
        <w:rPr>
          <w:rFonts w:cstheme="minorHAnsi"/>
          <w:sz w:val="24"/>
          <w:szCs w:val="24"/>
        </w:rPr>
      </w:pPr>
    </w:p>
    <w:p w14:paraId="4294A617" w14:textId="77777777" w:rsidR="00210A74" w:rsidRPr="000404ED" w:rsidRDefault="00210A74" w:rsidP="00210A74">
      <w:pPr>
        <w:spacing w:after="0" w:line="240" w:lineRule="auto"/>
        <w:rPr>
          <w:rFonts w:cstheme="minorHAnsi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10A74" w:rsidRPr="000404ED" w14:paraId="2CEE0E99" w14:textId="77777777" w:rsidTr="00F7345A">
        <w:tc>
          <w:tcPr>
            <w:tcW w:w="4531" w:type="dxa"/>
            <w:shd w:val="clear" w:color="auto" w:fill="DEEAF6" w:themeFill="accent1" w:themeFillTint="33"/>
          </w:tcPr>
          <w:p w14:paraId="5BB4A01D" w14:textId="77777777" w:rsidR="00F7345A" w:rsidRPr="00F7345A" w:rsidRDefault="00210A74" w:rsidP="00F7345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7345A">
              <w:rPr>
                <w:rFonts w:cstheme="minorHAnsi"/>
                <w:b/>
                <w:sz w:val="24"/>
                <w:szCs w:val="24"/>
              </w:rPr>
              <w:t>GENÇ ARAŞTIRMACI</w:t>
            </w:r>
          </w:p>
          <w:p w14:paraId="3B6F579F" w14:textId="6B9405ED" w:rsidR="00210A74" w:rsidRPr="00F7345A" w:rsidRDefault="00210A74" w:rsidP="0028550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7345A">
              <w:rPr>
                <w:rFonts w:cstheme="minorHAnsi"/>
                <w:b/>
                <w:sz w:val="24"/>
                <w:szCs w:val="24"/>
              </w:rPr>
              <w:t xml:space="preserve">BİLİMSEL MAKALE </w:t>
            </w:r>
            <w:r w:rsidR="00285507">
              <w:rPr>
                <w:rFonts w:cstheme="minorHAnsi"/>
                <w:b/>
                <w:sz w:val="24"/>
                <w:szCs w:val="24"/>
              </w:rPr>
              <w:t>YARIŞMASI</w:t>
            </w:r>
            <w:r w:rsidR="00285507" w:rsidRPr="00F7345A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F7345A">
              <w:rPr>
                <w:rFonts w:cstheme="minorHAnsi"/>
                <w:b/>
                <w:sz w:val="24"/>
                <w:szCs w:val="24"/>
              </w:rPr>
              <w:t>TAKVİMİ</w:t>
            </w:r>
          </w:p>
        </w:tc>
        <w:tc>
          <w:tcPr>
            <w:tcW w:w="4531" w:type="dxa"/>
            <w:shd w:val="clear" w:color="auto" w:fill="DEEAF6" w:themeFill="accent1" w:themeFillTint="33"/>
          </w:tcPr>
          <w:p w14:paraId="3981357F" w14:textId="77777777" w:rsidR="00210A74" w:rsidRPr="00F7345A" w:rsidRDefault="00F7345A" w:rsidP="00F7345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TARİH</w:t>
            </w:r>
          </w:p>
        </w:tc>
      </w:tr>
      <w:tr w:rsidR="00210A74" w:rsidRPr="000404ED" w14:paraId="4D200354" w14:textId="77777777" w:rsidTr="00F7345A">
        <w:trPr>
          <w:trHeight w:val="567"/>
        </w:trPr>
        <w:tc>
          <w:tcPr>
            <w:tcW w:w="4531" w:type="dxa"/>
          </w:tcPr>
          <w:p w14:paraId="43B2C5AB" w14:textId="77777777" w:rsidR="00210A74" w:rsidRPr="000404ED" w:rsidRDefault="00210A74" w:rsidP="00B05946">
            <w:pPr>
              <w:rPr>
                <w:rFonts w:cstheme="minorHAnsi"/>
                <w:b/>
                <w:sz w:val="24"/>
                <w:szCs w:val="24"/>
              </w:rPr>
            </w:pPr>
            <w:r w:rsidRPr="000404ED">
              <w:rPr>
                <w:sz w:val="24"/>
                <w:szCs w:val="24"/>
              </w:rPr>
              <w:t>Son Başvuru Tarihi</w:t>
            </w:r>
          </w:p>
        </w:tc>
        <w:tc>
          <w:tcPr>
            <w:tcW w:w="4531" w:type="dxa"/>
          </w:tcPr>
          <w:p w14:paraId="3C5612E7" w14:textId="7B8F51A2" w:rsidR="00210A74" w:rsidRPr="006B5EBB" w:rsidRDefault="006B5EBB" w:rsidP="00B05946">
            <w:pPr>
              <w:rPr>
                <w:rFonts w:cstheme="minorHAnsi"/>
                <w:sz w:val="24"/>
                <w:szCs w:val="24"/>
              </w:rPr>
            </w:pPr>
            <w:r w:rsidRPr="006B5EBB">
              <w:rPr>
                <w:rFonts w:cstheme="minorHAnsi"/>
                <w:sz w:val="24"/>
                <w:szCs w:val="24"/>
              </w:rPr>
              <w:t>4 Eylül 2026</w:t>
            </w:r>
          </w:p>
        </w:tc>
      </w:tr>
      <w:tr w:rsidR="00210A74" w:rsidRPr="000404ED" w14:paraId="295568A6" w14:textId="77777777" w:rsidTr="00F7345A">
        <w:trPr>
          <w:trHeight w:val="567"/>
        </w:trPr>
        <w:tc>
          <w:tcPr>
            <w:tcW w:w="4531" w:type="dxa"/>
          </w:tcPr>
          <w:p w14:paraId="602C9E6E" w14:textId="77777777" w:rsidR="00210A74" w:rsidRPr="000404ED" w:rsidRDefault="00210A74" w:rsidP="00B05946">
            <w:pPr>
              <w:rPr>
                <w:rFonts w:cstheme="minorHAnsi"/>
                <w:b/>
                <w:sz w:val="24"/>
                <w:szCs w:val="24"/>
              </w:rPr>
            </w:pPr>
            <w:r w:rsidRPr="000404ED">
              <w:rPr>
                <w:sz w:val="24"/>
                <w:szCs w:val="24"/>
              </w:rPr>
              <w:t>Başvuruların Değerlendirilmesi</w:t>
            </w:r>
          </w:p>
        </w:tc>
        <w:tc>
          <w:tcPr>
            <w:tcW w:w="4531" w:type="dxa"/>
          </w:tcPr>
          <w:p w14:paraId="2AC6D7E6" w14:textId="36A1D9E6" w:rsidR="00210A74" w:rsidRPr="006B5EBB" w:rsidRDefault="006B5EBB" w:rsidP="00B05946">
            <w:pPr>
              <w:rPr>
                <w:rFonts w:cstheme="minorHAnsi"/>
                <w:sz w:val="24"/>
                <w:szCs w:val="24"/>
              </w:rPr>
            </w:pPr>
            <w:r w:rsidRPr="006B5EBB">
              <w:rPr>
                <w:rFonts w:cstheme="minorHAnsi"/>
                <w:sz w:val="24"/>
                <w:szCs w:val="24"/>
              </w:rPr>
              <w:t>25 Eylül 2026</w:t>
            </w:r>
          </w:p>
        </w:tc>
      </w:tr>
      <w:tr w:rsidR="00210A74" w:rsidRPr="000404ED" w14:paraId="4FDE976F" w14:textId="77777777" w:rsidTr="00F7345A">
        <w:trPr>
          <w:trHeight w:val="567"/>
        </w:trPr>
        <w:tc>
          <w:tcPr>
            <w:tcW w:w="4531" w:type="dxa"/>
          </w:tcPr>
          <w:p w14:paraId="4C9C76D4" w14:textId="77777777" w:rsidR="00210A74" w:rsidRPr="000404ED" w:rsidRDefault="00210A74" w:rsidP="00B05946">
            <w:pPr>
              <w:rPr>
                <w:rFonts w:cstheme="minorHAnsi"/>
                <w:b/>
                <w:sz w:val="24"/>
                <w:szCs w:val="24"/>
              </w:rPr>
            </w:pPr>
            <w:r w:rsidRPr="000404ED">
              <w:rPr>
                <w:sz w:val="24"/>
                <w:szCs w:val="24"/>
              </w:rPr>
              <w:t xml:space="preserve">Sonuçların Duyurulması </w:t>
            </w:r>
          </w:p>
        </w:tc>
        <w:tc>
          <w:tcPr>
            <w:tcW w:w="4531" w:type="dxa"/>
          </w:tcPr>
          <w:p w14:paraId="29878AA5" w14:textId="0C73DDFE" w:rsidR="00210A74" w:rsidRPr="006B5EBB" w:rsidRDefault="006B5EBB" w:rsidP="00B05946">
            <w:pPr>
              <w:rPr>
                <w:rFonts w:cstheme="minorHAnsi"/>
                <w:sz w:val="24"/>
                <w:szCs w:val="24"/>
              </w:rPr>
            </w:pPr>
            <w:r w:rsidRPr="006B5EBB">
              <w:rPr>
                <w:rFonts w:cstheme="minorHAnsi"/>
                <w:sz w:val="24"/>
                <w:szCs w:val="24"/>
              </w:rPr>
              <w:t>28 Eylül 2026</w:t>
            </w:r>
          </w:p>
        </w:tc>
      </w:tr>
      <w:tr w:rsidR="00210A74" w:rsidRPr="000404ED" w14:paraId="5FA82662" w14:textId="77777777" w:rsidTr="00F7345A">
        <w:trPr>
          <w:trHeight w:val="567"/>
        </w:trPr>
        <w:tc>
          <w:tcPr>
            <w:tcW w:w="4531" w:type="dxa"/>
          </w:tcPr>
          <w:p w14:paraId="29645FB5" w14:textId="77777777" w:rsidR="00210A74" w:rsidRPr="000404ED" w:rsidRDefault="00210A74" w:rsidP="00B05946">
            <w:pPr>
              <w:rPr>
                <w:sz w:val="24"/>
                <w:szCs w:val="24"/>
              </w:rPr>
            </w:pPr>
            <w:r w:rsidRPr="000404ED">
              <w:rPr>
                <w:sz w:val="24"/>
                <w:szCs w:val="24"/>
              </w:rPr>
              <w:t>Ödül Töreni</w:t>
            </w:r>
          </w:p>
        </w:tc>
        <w:tc>
          <w:tcPr>
            <w:tcW w:w="4531" w:type="dxa"/>
          </w:tcPr>
          <w:p w14:paraId="0AB86931" w14:textId="39045B0E" w:rsidR="00210A74" w:rsidRPr="00F7345A" w:rsidRDefault="000C28DB" w:rsidP="000C28D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="00210A74" w:rsidRPr="00F7345A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Kasım 2026 </w:t>
            </w:r>
            <w:r w:rsidR="004D2437">
              <w:rPr>
                <w:rFonts w:cstheme="minorHAnsi"/>
                <w:sz w:val="24"/>
                <w:szCs w:val="24"/>
              </w:rPr>
              <w:t xml:space="preserve"> - İstanbul</w:t>
            </w:r>
          </w:p>
        </w:tc>
      </w:tr>
    </w:tbl>
    <w:p w14:paraId="50D57689" w14:textId="77777777" w:rsidR="00210A74" w:rsidRPr="000404ED" w:rsidRDefault="00210A74" w:rsidP="00210A74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831460E" w14:textId="77777777" w:rsidR="00210A74" w:rsidRPr="00F7345A" w:rsidRDefault="00210A74" w:rsidP="00210A74">
      <w:pPr>
        <w:spacing w:after="0" w:line="240" w:lineRule="auto"/>
        <w:rPr>
          <w:b/>
          <w:sz w:val="24"/>
          <w:szCs w:val="24"/>
        </w:rPr>
      </w:pPr>
      <w:r w:rsidRPr="00F7345A">
        <w:rPr>
          <w:b/>
          <w:sz w:val="24"/>
          <w:szCs w:val="24"/>
        </w:rPr>
        <w:t>Değerlendirme:</w:t>
      </w:r>
    </w:p>
    <w:p w14:paraId="05594A3A" w14:textId="77777777" w:rsidR="00210A74" w:rsidRPr="000404ED" w:rsidRDefault="00210A74" w:rsidP="00210A74">
      <w:pPr>
        <w:spacing w:after="0" w:line="240" w:lineRule="auto"/>
        <w:rPr>
          <w:sz w:val="24"/>
          <w:szCs w:val="24"/>
        </w:rPr>
      </w:pPr>
    </w:p>
    <w:p w14:paraId="4D813CF4" w14:textId="28B43C47" w:rsidR="00FC56A0" w:rsidRDefault="00F7345A" w:rsidP="0024198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Gıda Güvenliği Derneği’ne</w:t>
      </w:r>
      <w:r w:rsidR="00210A74" w:rsidRPr="000404ED">
        <w:rPr>
          <w:sz w:val="24"/>
          <w:szCs w:val="24"/>
        </w:rPr>
        <w:t xml:space="preserve"> ulaşan bilimsel makale başvuruları öncelikle </w:t>
      </w:r>
      <w:r w:rsidR="00501A04">
        <w:rPr>
          <w:sz w:val="24"/>
          <w:szCs w:val="24"/>
        </w:rPr>
        <w:t xml:space="preserve">Gıda Güvenliği Derneği (Dernek) </w:t>
      </w:r>
      <w:r>
        <w:rPr>
          <w:sz w:val="24"/>
          <w:szCs w:val="24"/>
        </w:rPr>
        <w:t xml:space="preserve">tarafından </w:t>
      </w:r>
      <w:r w:rsidR="00210A74" w:rsidRPr="000404ED">
        <w:rPr>
          <w:sz w:val="24"/>
          <w:szCs w:val="24"/>
        </w:rPr>
        <w:t xml:space="preserve">incelenir. Başvurular; başvuru sahibinin uygunluğu, başvuru formunun tam olarak doldurulup doldurulmadığı gibi ön değerlendirme kriterleriyle gözden geçirilir. Ön değerlendirmeyi geçen başvurular, ödüle konu olan alanlardan seçilen akademisyenlerden ve </w:t>
      </w:r>
      <w:r>
        <w:rPr>
          <w:sz w:val="24"/>
          <w:szCs w:val="24"/>
        </w:rPr>
        <w:t>Gıda Güvenliği Derneği</w:t>
      </w:r>
      <w:r w:rsidR="00210A74" w:rsidRPr="000404ED">
        <w:rPr>
          <w:sz w:val="24"/>
          <w:szCs w:val="24"/>
        </w:rPr>
        <w:t xml:space="preserve"> Yönetim Kurulu üyelerinden oluşturulan </w:t>
      </w:r>
      <w:r w:rsidR="00DC3BF3">
        <w:rPr>
          <w:sz w:val="24"/>
          <w:szCs w:val="24"/>
        </w:rPr>
        <w:t xml:space="preserve">Gıda Güvenliği Derneği Genç Araştırmacı Bilimsel Makale </w:t>
      </w:r>
      <w:r w:rsidR="00080C01">
        <w:rPr>
          <w:sz w:val="24"/>
          <w:szCs w:val="24"/>
        </w:rPr>
        <w:t xml:space="preserve">Yarışması </w:t>
      </w:r>
      <w:r w:rsidR="00210A74" w:rsidRPr="000404ED">
        <w:rPr>
          <w:sz w:val="24"/>
          <w:szCs w:val="24"/>
        </w:rPr>
        <w:t>Değerlendirme Kuruluna, görüşleri alınmak üzere yollanır. Başvurular,</w:t>
      </w:r>
      <w:r w:rsidR="00BB7186">
        <w:rPr>
          <w:sz w:val="24"/>
          <w:szCs w:val="24"/>
        </w:rPr>
        <w:t xml:space="preserve"> </w:t>
      </w:r>
      <w:r w:rsidR="00DC3BF3">
        <w:rPr>
          <w:sz w:val="24"/>
          <w:szCs w:val="24"/>
        </w:rPr>
        <w:t>i</w:t>
      </w:r>
      <w:r w:rsidR="006675EC">
        <w:rPr>
          <w:sz w:val="24"/>
          <w:szCs w:val="24"/>
        </w:rPr>
        <w:t>ki akademisyen, bir GGD YK üyesi</w:t>
      </w:r>
      <w:r w:rsidR="00DC3BF3">
        <w:rPr>
          <w:sz w:val="24"/>
          <w:szCs w:val="24"/>
        </w:rPr>
        <w:t xml:space="preserve">nden oluşan üç </w:t>
      </w:r>
      <w:r w:rsidR="00210A74" w:rsidRPr="000404ED">
        <w:rPr>
          <w:sz w:val="24"/>
          <w:szCs w:val="24"/>
        </w:rPr>
        <w:t xml:space="preserve">Değerlendirme Kurulu Üyesi tarafından </w:t>
      </w:r>
      <w:r w:rsidR="00DC3BF3">
        <w:rPr>
          <w:sz w:val="24"/>
          <w:szCs w:val="24"/>
        </w:rPr>
        <w:t xml:space="preserve">yukarıda belirtilen değerlendirme kriterleri üzerinden </w:t>
      </w:r>
      <w:r w:rsidR="00210A74" w:rsidRPr="000404ED">
        <w:rPr>
          <w:sz w:val="24"/>
          <w:szCs w:val="24"/>
        </w:rPr>
        <w:t xml:space="preserve">100’lük puanlama sistemi üzerinden </w:t>
      </w:r>
      <w:r w:rsidR="00DC3BF3">
        <w:rPr>
          <w:sz w:val="24"/>
          <w:szCs w:val="24"/>
        </w:rPr>
        <w:t xml:space="preserve">değerlendirilir </w:t>
      </w:r>
      <w:r w:rsidR="00210A74" w:rsidRPr="000404ED">
        <w:rPr>
          <w:sz w:val="24"/>
          <w:szCs w:val="24"/>
        </w:rPr>
        <w:t>ve kurul üyelerinin verdiği puanların ortalaması alınarak makal</w:t>
      </w:r>
      <w:r w:rsidR="00BB7186">
        <w:rPr>
          <w:sz w:val="24"/>
          <w:szCs w:val="24"/>
        </w:rPr>
        <w:t>eye ait ortalama değerlendirme</w:t>
      </w:r>
      <w:r w:rsidR="00210A74" w:rsidRPr="000404ED">
        <w:rPr>
          <w:sz w:val="24"/>
          <w:szCs w:val="24"/>
        </w:rPr>
        <w:t xml:space="preserve"> puanı belirlenir. Ancak, aynı makaleyi değerlendiren kurul üyelerinin puanları arasında 25 puan ve üzeri farklılık olması halinde, </w:t>
      </w:r>
      <w:r w:rsidR="00821675">
        <w:rPr>
          <w:sz w:val="24"/>
          <w:szCs w:val="24"/>
        </w:rPr>
        <w:t xml:space="preserve">Dernek </w:t>
      </w:r>
      <w:r w:rsidR="00210A74" w:rsidRPr="000404ED">
        <w:rPr>
          <w:sz w:val="24"/>
          <w:szCs w:val="24"/>
        </w:rPr>
        <w:t xml:space="preserve">tarafından belirlenen </w:t>
      </w:r>
      <w:r w:rsidR="00501A04">
        <w:rPr>
          <w:sz w:val="24"/>
          <w:szCs w:val="24"/>
        </w:rPr>
        <w:t>dördüncü</w:t>
      </w:r>
      <w:r w:rsidR="00501A04" w:rsidRPr="000404ED">
        <w:rPr>
          <w:sz w:val="24"/>
          <w:szCs w:val="24"/>
        </w:rPr>
        <w:t xml:space="preserve"> </w:t>
      </w:r>
      <w:r w:rsidR="00210A74" w:rsidRPr="000404ED">
        <w:rPr>
          <w:sz w:val="24"/>
          <w:szCs w:val="24"/>
        </w:rPr>
        <w:t xml:space="preserve">bir akademisyenden görüş alınarak ortalama puan belirlenir. </w:t>
      </w:r>
    </w:p>
    <w:p w14:paraId="720C4B15" w14:textId="77777777" w:rsidR="00FC56A0" w:rsidRDefault="00FC56A0" w:rsidP="00241986">
      <w:pPr>
        <w:spacing w:after="0" w:line="240" w:lineRule="auto"/>
        <w:jc w:val="both"/>
        <w:rPr>
          <w:sz w:val="24"/>
          <w:szCs w:val="24"/>
        </w:rPr>
      </w:pPr>
    </w:p>
    <w:p w14:paraId="5CA95ACA" w14:textId="7725E812" w:rsidR="00210A74" w:rsidRPr="000404ED" w:rsidRDefault="00210A74" w:rsidP="00241986">
      <w:pPr>
        <w:spacing w:after="0" w:line="240" w:lineRule="auto"/>
        <w:jc w:val="both"/>
        <w:rPr>
          <w:sz w:val="24"/>
          <w:szCs w:val="24"/>
        </w:rPr>
      </w:pPr>
      <w:r w:rsidRPr="000404ED">
        <w:rPr>
          <w:sz w:val="24"/>
          <w:szCs w:val="24"/>
        </w:rPr>
        <w:t xml:space="preserve">Yapılan değerlendirmenin ardından en yüksek puanı alan ilk 3 makale ödül almaya hak kazanır ve </w:t>
      </w:r>
      <w:r w:rsidR="000C28DB">
        <w:rPr>
          <w:sz w:val="24"/>
          <w:szCs w:val="24"/>
        </w:rPr>
        <w:t>9</w:t>
      </w:r>
      <w:r w:rsidR="00821675">
        <w:rPr>
          <w:sz w:val="24"/>
          <w:szCs w:val="24"/>
        </w:rPr>
        <w:t xml:space="preserve">.Uluslararası Gıda Güvenliği Kongresi </w:t>
      </w:r>
      <w:r w:rsidRPr="000404ED">
        <w:rPr>
          <w:sz w:val="24"/>
          <w:szCs w:val="24"/>
        </w:rPr>
        <w:t>ödül töreni</w:t>
      </w:r>
      <w:r w:rsidR="00821675">
        <w:rPr>
          <w:sz w:val="24"/>
          <w:szCs w:val="24"/>
        </w:rPr>
        <w:t xml:space="preserve">nde </w:t>
      </w:r>
      <w:r w:rsidRPr="000404ED">
        <w:rPr>
          <w:sz w:val="24"/>
          <w:szCs w:val="24"/>
        </w:rPr>
        <w:t xml:space="preserve">kamuoyuyla paylaşılır. Değerlendirme Kurulu, değerlendirme aşamasında gerekli gördüğü takdirde kendi belirleyeceği kişi veya kurumdan </w:t>
      </w:r>
      <w:r w:rsidR="00821675">
        <w:rPr>
          <w:sz w:val="24"/>
          <w:szCs w:val="24"/>
        </w:rPr>
        <w:t xml:space="preserve">Dernek </w:t>
      </w:r>
      <w:r w:rsidRPr="000404ED">
        <w:rPr>
          <w:sz w:val="24"/>
          <w:szCs w:val="24"/>
        </w:rPr>
        <w:t xml:space="preserve">aracılığıyla danışmanlık hizmeti alabilir. </w:t>
      </w:r>
      <w:r w:rsidR="00821675">
        <w:rPr>
          <w:sz w:val="24"/>
          <w:szCs w:val="24"/>
        </w:rPr>
        <w:t xml:space="preserve">Gıda Güvenliği Derneği </w:t>
      </w:r>
      <w:r w:rsidRPr="000404ED">
        <w:rPr>
          <w:sz w:val="24"/>
          <w:szCs w:val="24"/>
        </w:rPr>
        <w:t>Yönetim Kurulu, ödülün belirlenenden daha çok kişiye verilmesini kararlaştırabileceği gibi, ödüle layık görülmediği takdirde ödül verilmemesine de karar verebilir.</w:t>
      </w:r>
    </w:p>
    <w:p w14:paraId="680CE274" w14:textId="77777777" w:rsidR="00210A74" w:rsidRPr="000404ED" w:rsidRDefault="00210A74" w:rsidP="00210A74">
      <w:pPr>
        <w:spacing w:after="0" w:line="240" w:lineRule="auto"/>
        <w:rPr>
          <w:sz w:val="24"/>
          <w:szCs w:val="24"/>
        </w:rPr>
      </w:pPr>
    </w:p>
    <w:p w14:paraId="2D17A6D0" w14:textId="77777777" w:rsidR="006675EC" w:rsidRDefault="006675EC" w:rsidP="00210A74">
      <w:pPr>
        <w:spacing w:after="0" w:line="240" w:lineRule="auto"/>
        <w:rPr>
          <w:b/>
          <w:sz w:val="24"/>
          <w:szCs w:val="24"/>
        </w:rPr>
      </w:pPr>
    </w:p>
    <w:p w14:paraId="51586BA2" w14:textId="30183E38" w:rsidR="00210A74" w:rsidRPr="00821675" w:rsidRDefault="00210A74" w:rsidP="00210A74">
      <w:pPr>
        <w:spacing w:after="0" w:line="240" w:lineRule="auto"/>
        <w:rPr>
          <w:b/>
          <w:sz w:val="24"/>
          <w:szCs w:val="24"/>
        </w:rPr>
      </w:pPr>
      <w:r w:rsidRPr="00821675">
        <w:rPr>
          <w:b/>
          <w:sz w:val="24"/>
          <w:szCs w:val="24"/>
        </w:rPr>
        <w:t xml:space="preserve">Gizlilik ve Etik Prensipleri: </w:t>
      </w:r>
    </w:p>
    <w:p w14:paraId="48260A7B" w14:textId="77777777" w:rsidR="00210A74" w:rsidRPr="000404ED" w:rsidRDefault="00210A74" w:rsidP="00210A74">
      <w:pPr>
        <w:spacing w:after="0" w:line="240" w:lineRule="auto"/>
        <w:rPr>
          <w:sz w:val="24"/>
          <w:szCs w:val="24"/>
        </w:rPr>
      </w:pPr>
    </w:p>
    <w:p w14:paraId="766CE859" w14:textId="2FA13985" w:rsidR="00210A74" w:rsidRPr="000404ED" w:rsidRDefault="00241986" w:rsidP="0024198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Gıda Güvenliği Derneği</w:t>
      </w:r>
      <w:r w:rsidR="00210A74" w:rsidRPr="000404ED">
        <w:rPr>
          <w:sz w:val="24"/>
          <w:szCs w:val="24"/>
        </w:rPr>
        <w:t xml:space="preserve">, başvurular ve değerlendirme sırasında oluşan her türlü bilginin gizliliğinin korunması için gerekli tedbirleri almakla yükümlüdür. </w:t>
      </w:r>
      <w:r w:rsidR="00080C01">
        <w:rPr>
          <w:sz w:val="24"/>
          <w:szCs w:val="24"/>
        </w:rPr>
        <w:t xml:space="preserve">Yarışma </w:t>
      </w:r>
      <w:r>
        <w:rPr>
          <w:sz w:val="24"/>
          <w:szCs w:val="24"/>
        </w:rPr>
        <w:t>Jürisi</w:t>
      </w:r>
      <w:r w:rsidR="00210A74" w:rsidRPr="000404ED">
        <w:rPr>
          <w:sz w:val="24"/>
          <w:szCs w:val="24"/>
        </w:rPr>
        <w:t xml:space="preserve"> ve </w:t>
      </w:r>
      <w:r w:rsidR="004D2437">
        <w:rPr>
          <w:sz w:val="24"/>
          <w:szCs w:val="24"/>
        </w:rPr>
        <w:t>Dernek</w:t>
      </w:r>
      <w:r w:rsidR="00210A74" w:rsidRPr="000404ED">
        <w:rPr>
          <w:sz w:val="24"/>
          <w:szCs w:val="24"/>
        </w:rPr>
        <w:t xml:space="preserve">, ödülle ilgili başvuru dosyası içeriklerini gizli tutmakla yükümlüdür. Başvuruların değerlendirilmesi esnasında ve sonrasında ulaşılan bilgiler, gözlemler ve değerlendirme puanları gizli kabul edilir ve kamuoyuna, kişilere ve/veya sektöre açıklanmaz. </w:t>
      </w:r>
    </w:p>
    <w:p w14:paraId="4B1A8C1A" w14:textId="77777777" w:rsidR="00210A74" w:rsidRPr="000404ED" w:rsidRDefault="00210A74" w:rsidP="00210A74">
      <w:pPr>
        <w:spacing w:after="0" w:line="240" w:lineRule="auto"/>
        <w:rPr>
          <w:sz w:val="24"/>
          <w:szCs w:val="24"/>
        </w:rPr>
      </w:pPr>
    </w:p>
    <w:p w14:paraId="6FEAC22A" w14:textId="77777777" w:rsidR="00210A74" w:rsidRPr="00821675" w:rsidRDefault="00210A74" w:rsidP="00210A74">
      <w:pPr>
        <w:spacing w:after="0" w:line="240" w:lineRule="auto"/>
        <w:rPr>
          <w:b/>
          <w:sz w:val="24"/>
          <w:szCs w:val="24"/>
        </w:rPr>
      </w:pPr>
      <w:r w:rsidRPr="00821675">
        <w:rPr>
          <w:b/>
          <w:sz w:val="24"/>
          <w:szCs w:val="24"/>
        </w:rPr>
        <w:t>Ödül Biçimi ve Tutarları:</w:t>
      </w:r>
    </w:p>
    <w:p w14:paraId="1C27BA4C" w14:textId="77777777" w:rsidR="00210A74" w:rsidRPr="000404ED" w:rsidRDefault="00210A74" w:rsidP="00210A74">
      <w:pPr>
        <w:spacing w:after="0" w:line="240" w:lineRule="auto"/>
        <w:rPr>
          <w:sz w:val="24"/>
          <w:szCs w:val="24"/>
        </w:rPr>
      </w:pPr>
    </w:p>
    <w:p w14:paraId="3B22C4CF" w14:textId="6B262FE1" w:rsidR="00210A74" w:rsidRPr="006B5EBB" w:rsidRDefault="00210A74" w:rsidP="00210A74">
      <w:pPr>
        <w:spacing w:after="0" w:line="240" w:lineRule="auto"/>
        <w:rPr>
          <w:sz w:val="24"/>
          <w:szCs w:val="24"/>
        </w:rPr>
      </w:pPr>
      <w:r w:rsidRPr="006B5EBB">
        <w:rPr>
          <w:sz w:val="24"/>
          <w:szCs w:val="24"/>
        </w:rPr>
        <w:sym w:font="Symbol" w:char="F0B7"/>
      </w:r>
      <w:r w:rsidRPr="006B5EBB">
        <w:rPr>
          <w:sz w:val="24"/>
          <w:szCs w:val="24"/>
        </w:rPr>
        <w:t xml:space="preserve"> Birincilik</w:t>
      </w:r>
      <w:r w:rsidR="00821675" w:rsidRPr="006B5EBB">
        <w:rPr>
          <w:sz w:val="24"/>
          <w:szCs w:val="24"/>
        </w:rPr>
        <w:t xml:space="preserve"> Ödülü</w:t>
      </w:r>
      <w:r w:rsidRPr="006B5EBB">
        <w:rPr>
          <w:sz w:val="24"/>
          <w:szCs w:val="24"/>
        </w:rPr>
        <w:t xml:space="preserve"> </w:t>
      </w:r>
      <w:r w:rsidR="004D2437" w:rsidRPr="006B5EBB">
        <w:rPr>
          <w:sz w:val="24"/>
          <w:szCs w:val="24"/>
        </w:rPr>
        <w:tab/>
      </w:r>
      <w:r w:rsidRPr="006B5EBB">
        <w:rPr>
          <w:sz w:val="24"/>
          <w:szCs w:val="24"/>
        </w:rPr>
        <w:t xml:space="preserve">: </w:t>
      </w:r>
      <w:r w:rsidR="006B5EBB" w:rsidRPr="006B5EBB">
        <w:rPr>
          <w:sz w:val="24"/>
          <w:szCs w:val="24"/>
        </w:rPr>
        <w:t>30</w:t>
      </w:r>
      <w:r w:rsidR="00976F03" w:rsidRPr="006B5EBB">
        <w:rPr>
          <w:sz w:val="24"/>
          <w:szCs w:val="24"/>
        </w:rPr>
        <w:t>.000</w:t>
      </w:r>
      <w:r w:rsidR="00BB7186" w:rsidRPr="006B5EBB">
        <w:rPr>
          <w:sz w:val="24"/>
          <w:szCs w:val="24"/>
        </w:rPr>
        <w:t xml:space="preserve"> TL</w:t>
      </w:r>
    </w:p>
    <w:p w14:paraId="3FE512D0" w14:textId="4991B8DF" w:rsidR="00210A74" w:rsidRPr="006B5EBB" w:rsidRDefault="00210A74" w:rsidP="00210A74">
      <w:pPr>
        <w:spacing w:after="0" w:line="240" w:lineRule="auto"/>
        <w:rPr>
          <w:sz w:val="24"/>
          <w:szCs w:val="24"/>
        </w:rPr>
      </w:pPr>
      <w:r w:rsidRPr="006B5EBB">
        <w:rPr>
          <w:sz w:val="24"/>
          <w:szCs w:val="24"/>
        </w:rPr>
        <w:sym w:font="Symbol" w:char="F0B7"/>
      </w:r>
      <w:r w:rsidRPr="006B5EBB">
        <w:rPr>
          <w:sz w:val="24"/>
          <w:szCs w:val="24"/>
        </w:rPr>
        <w:t xml:space="preserve"> İkincilik</w:t>
      </w:r>
      <w:r w:rsidR="00821675" w:rsidRPr="006B5EBB">
        <w:rPr>
          <w:sz w:val="24"/>
          <w:szCs w:val="24"/>
        </w:rPr>
        <w:t xml:space="preserve"> Ödülü</w:t>
      </w:r>
      <w:r w:rsidRPr="006B5EBB">
        <w:rPr>
          <w:sz w:val="24"/>
          <w:szCs w:val="24"/>
        </w:rPr>
        <w:t xml:space="preserve"> </w:t>
      </w:r>
      <w:r w:rsidR="004D2437" w:rsidRPr="006B5EBB">
        <w:rPr>
          <w:sz w:val="24"/>
          <w:szCs w:val="24"/>
        </w:rPr>
        <w:tab/>
      </w:r>
      <w:r w:rsidRPr="006B5EBB">
        <w:rPr>
          <w:sz w:val="24"/>
          <w:szCs w:val="24"/>
        </w:rPr>
        <w:t xml:space="preserve">: </w:t>
      </w:r>
      <w:r w:rsidR="006B5EBB" w:rsidRPr="006B5EBB">
        <w:rPr>
          <w:sz w:val="24"/>
          <w:szCs w:val="24"/>
        </w:rPr>
        <w:t>25</w:t>
      </w:r>
      <w:r w:rsidRPr="006B5EBB">
        <w:rPr>
          <w:sz w:val="24"/>
          <w:szCs w:val="24"/>
        </w:rPr>
        <w:t>.000</w:t>
      </w:r>
      <w:r w:rsidR="00BB7186" w:rsidRPr="006B5EBB">
        <w:rPr>
          <w:sz w:val="24"/>
          <w:szCs w:val="24"/>
        </w:rPr>
        <w:t xml:space="preserve"> </w:t>
      </w:r>
      <w:r w:rsidRPr="006B5EBB">
        <w:rPr>
          <w:sz w:val="24"/>
          <w:szCs w:val="24"/>
        </w:rPr>
        <w:t xml:space="preserve">TL </w:t>
      </w:r>
    </w:p>
    <w:p w14:paraId="520F98B1" w14:textId="766E1E6C" w:rsidR="00210A74" w:rsidRDefault="00210A74" w:rsidP="00210A74">
      <w:pPr>
        <w:spacing w:after="0" w:line="240" w:lineRule="auto"/>
        <w:rPr>
          <w:sz w:val="24"/>
          <w:szCs w:val="24"/>
        </w:rPr>
      </w:pPr>
      <w:r w:rsidRPr="006B5EBB">
        <w:rPr>
          <w:sz w:val="24"/>
          <w:szCs w:val="24"/>
        </w:rPr>
        <w:sym w:font="Symbol" w:char="F0B7"/>
      </w:r>
      <w:r w:rsidRPr="006B5EBB">
        <w:rPr>
          <w:sz w:val="24"/>
          <w:szCs w:val="24"/>
        </w:rPr>
        <w:t xml:space="preserve"> Üçüncülük</w:t>
      </w:r>
      <w:r w:rsidR="00821675" w:rsidRPr="006B5EBB">
        <w:rPr>
          <w:sz w:val="24"/>
          <w:szCs w:val="24"/>
        </w:rPr>
        <w:t xml:space="preserve"> Ödülü</w:t>
      </w:r>
      <w:r w:rsidRPr="006B5EBB">
        <w:rPr>
          <w:sz w:val="24"/>
          <w:szCs w:val="24"/>
        </w:rPr>
        <w:t xml:space="preserve"> </w:t>
      </w:r>
      <w:r w:rsidR="004D2437" w:rsidRPr="006B5EBB">
        <w:rPr>
          <w:sz w:val="24"/>
          <w:szCs w:val="24"/>
        </w:rPr>
        <w:tab/>
      </w:r>
      <w:r w:rsidRPr="006B5EBB">
        <w:rPr>
          <w:sz w:val="24"/>
          <w:szCs w:val="24"/>
        </w:rPr>
        <w:t xml:space="preserve">: </w:t>
      </w:r>
      <w:r w:rsidR="00976F03" w:rsidRPr="006B5EBB">
        <w:rPr>
          <w:sz w:val="24"/>
          <w:szCs w:val="24"/>
        </w:rPr>
        <w:t>1</w:t>
      </w:r>
      <w:r w:rsidR="006B5EBB" w:rsidRPr="006B5EBB">
        <w:rPr>
          <w:sz w:val="24"/>
          <w:szCs w:val="24"/>
        </w:rPr>
        <w:t>5</w:t>
      </w:r>
      <w:r w:rsidR="00976F03" w:rsidRPr="006B5EBB">
        <w:rPr>
          <w:sz w:val="24"/>
          <w:szCs w:val="24"/>
        </w:rPr>
        <w:t>.000</w:t>
      </w:r>
      <w:r w:rsidR="00BB7186" w:rsidRPr="006B5EBB">
        <w:rPr>
          <w:sz w:val="24"/>
          <w:szCs w:val="24"/>
        </w:rPr>
        <w:t xml:space="preserve"> TL</w:t>
      </w:r>
    </w:p>
    <w:p w14:paraId="3B61A40E" w14:textId="77777777" w:rsidR="00210A74" w:rsidRDefault="00210A74" w:rsidP="00210A74">
      <w:pPr>
        <w:spacing w:after="0" w:line="240" w:lineRule="auto"/>
        <w:rPr>
          <w:sz w:val="24"/>
          <w:szCs w:val="24"/>
        </w:rPr>
      </w:pPr>
    </w:p>
    <w:p w14:paraId="2BDF7A30" w14:textId="7202D5D0" w:rsidR="00821675" w:rsidRDefault="00FC56A0" w:rsidP="00210A7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Ödüller </w:t>
      </w:r>
      <w:r w:rsidR="000C28DB">
        <w:rPr>
          <w:b/>
          <w:sz w:val="24"/>
          <w:szCs w:val="24"/>
        </w:rPr>
        <w:t>6</w:t>
      </w:r>
      <w:r w:rsidR="000C28DB" w:rsidRPr="00FC56A0">
        <w:rPr>
          <w:b/>
          <w:sz w:val="24"/>
          <w:szCs w:val="24"/>
        </w:rPr>
        <w:t xml:space="preserve"> </w:t>
      </w:r>
      <w:r w:rsidR="000C28DB">
        <w:rPr>
          <w:b/>
          <w:sz w:val="24"/>
          <w:szCs w:val="24"/>
        </w:rPr>
        <w:t>Kasım’da</w:t>
      </w:r>
      <w:r>
        <w:rPr>
          <w:sz w:val="24"/>
          <w:szCs w:val="24"/>
        </w:rPr>
        <w:t xml:space="preserve"> </w:t>
      </w:r>
      <w:r w:rsidRPr="00FC56A0">
        <w:rPr>
          <w:b/>
          <w:sz w:val="24"/>
          <w:szCs w:val="24"/>
        </w:rPr>
        <w:t xml:space="preserve">Grand </w:t>
      </w:r>
      <w:r w:rsidRPr="00285507">
        <w:rPr>
          <w:rFonts w:cstheme="minorHAnsi"/>
          <w:b/>
          <w:sz w:val="24"/>
          <w:szCs w:val="24"/>
        </w:rPr>
        <w:t>Cevahir Hotel &amp; Convention Center – İstanbul’da</w:t>
      </w:r>
      <w:r w:rsidRPr="00285507">
        <w:rPr>
          <w:rFonts w:cstheme="minorHAnsi"/>
          <w:sz w:val="24"/>
          <w:szCs w:val="24"/>
        </w:rPr>
        <w:t xml:space="preserve"> yapılacak Ödül Töreni’nde takdim edilecek olup, ödülü alan makaleyi temsilen yalnızca</w:t>
      </w:r>
      <w:r w:rsidRPr="00FC56A0">
        <w:rPr>
          <w:sz w:val="24"/>
          <w:szCs w:val="24"/>
        </w:rPr>
        <w:t xml:space="preserve"> </w:t>
      </w:r>
      <w:r w:rsidRPr="00FC56A0">
        <w:rPr>
          <w:b/>
          <w:sz w:val="24"/>
          <w:szCs w:val="24"/>
        </w:rPr>
        <w:t>1 kişinin</w:t>
      </w:r>
      <w:r w:rsidRPr="00FC56A0">
        <w:rPr>
          <w:sz w:val="24"/>
          <w:szCs w:val="24"/>
        </w:rPr>
        <w:t xml:space="preserve"> Kongre</w:t>
      </w:r>
      <w:r>
        <w:rPr>
          <w:sz w:val="24"/>
          <w:szCs w:val="24"/>
        </w:rPr>
        <w:t>’</w:t>
      </w:r>
      <w:r w:rsidRPr="00FC56A0">
        <w:rPr>
          <w:sz w:val="24"/>
          <w:szCs w:val="24"/>
        </w:rPr>
        <w:t>ye ücretsiz kaydı sağlanacaktır.</w:t>
      </w:r>
    </w:p>
    <w:p w14:paraId="375F59C1" w14:textId="77777777" w:rsidR="00FC56A0" w:rsidRDefault="00FC56A0" w:rsidP="00210A74">
      <w:pPr>
        <w:spacing w:after="0" w:line="240" w:lineRule="auto"/>
        <w:rPr>
          <w:sz w:val="24"/>
          <w:szCs w:val="24"/>
        </w:rPr>
      </w:pPr>
    </w:p>
    <w:p w14:paraId="2220ECF9" w14:textId="77777777" w:rsidR="006675EC" w:rsidRDefault="006675EC" w:rsidP="00210A74">
      <w:pPr>
        <w:spacing w:after="0" w:line="240" w:lineRule="auto"/>
        <w:rPr>
          <w:sz w:val="24"/>
          <w:szCs w:val="24"/>
        </w:rPr>
      </w:pPr>
    </w:p>
    <w:p w14:paraId="6003248B" w14:textId="7B3021FA" w:rsidR="00210A74" w:rsidRPr="000404ED" w:rsidRDefault="00210A74" w:rsidP="00210A74">
      <w:pPr>
        <w:spacing w:after="0" w:line="240" w:lineRule="auto"/>
        <w:rPr>
          <w:rFonts w:cstheme="minorHAnsi"/>
          <w:sz w:val="24"/>
          <w:szCs w:val="24"/>
        </w:rPr>
      </w:pPr>
      <w:r w:rsidRPr="000404ED">
        <w:rPr>
          <w:sz w:val="24"/>
          <w:szCs w:val="24"/>
        </w:rPr>
        <w:t>7337 sayılı Veraset ve İntikal Kanunu’na göre vergi mükellefiyeti ödülü kazanan/kazananlara aittir.</w:t>
      </w:r>
    </w:p>
    <w:p w14:paraId="739DC3C2" w14:textId="77777777" w:rsidR="00210A74" w:rsidRPr="000404ED" w:rsidRDefault="00210A74" w:rsidP="00210A74">
      <w:pPr>
        <w:spacing w:after="0" w:line="240" w:lineRule="auto"/>
        <w:rPr>
          <w:rFonts w:cstheme="minorHAnsi"/>
          <w:sz w:val="24"/>
          <w:szCs w:val="24"/>
        </w:rPr>
      </w:pPr>
    </w:p>
    <w:p w14:paraId="066BCC76" w14:textId="77777777" w:rsidR="00210A74" w:rsidRPr="000404ED" w:rsidRDefault="00210A74" w:rsidP="00210A74">
      <w:pPr>
        <w:spacing w:after="0" w:line="240" w:lineRule="auto"/>
        <w:rPr>
          <w:rFonts w:cstheme="minorHAnsi"/>
          <w:sz w:val="24"/>
          <w:szCs w:val="24"/>
        </w:rPr>
      </w:pPr>
      <w:r w:rsidRPr="000404ED">
        <w:rPr>
          <w:sz w:val="24"/>
          <w:szCs w:val="24"/>
        </w:rPr>
        <w:t>Ödül nedeniyle doğabilecek her türlü vergi, harç vb. mali yükümlülüklerin ödenmesinden kazanan kişi/kişiler sorumludur.</w:t>
      </w:r>
    </w:p>
    <w:p w14:paraId="708F7C64" w14:textId="77777777" w:rsidR="00210A74" w:rsidRPr="000404ED" w:rsidRDefault="00210A74" w:rsidP="00210A74">
      <w:pPr>
        <w:spacing w:after="0" w:line="240" w:lineRule="auto"/>
        <w:rPr>
          <w:rFonts w:cstheme="minorHAnsi"/>
          <w:sz w:val="24"/>
          <w:szCs w:val="24"/>
        </w:rPr>
      </w:pPr>
    </w:p>
    <w:p w14:paraId="4BA40B01" w14:textId="2F9FD569" w:rsidR="00821675" w:rsidRDefault="00501A04" w:rsidP="00210A7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Makaledeki tüm yazarların ödül şartnamesinin tüm sayfalarını paraflaması zorunludur. </w:t>
      </w:r>
    </w:p>
    <w:p w14:paraId="21CAEA8C" w14:textId="0094C8B1" w:rsidR="00285507" w:rsidRDefault="00285507" w:rsidP="00210A74">
      <w:pPr>
        <w:spacing w:after="0" w:line="240" w:lineRule="auto"/>
        <w:rPr>
          <w:sz w:val="24"/>
          <w:szCs w:val="24"/>
        </w:rPr>
      </w:pPr>
    </w:p>
    <w:p w14:paraId="66E3DAE2" w14:textId="2E86BE7D" w:rsidR="00285507" w:rsidRDefault="00285507" w:rsidP="00210A7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Yarışma sonrasında makale yazarlarının kendi aralarında veya başka yazarlarla yaşayabileceği ihtilaflarda Gıda Güvenliği Derneği’nin sorumluluğu bulunmamaktadır. </w:t>
      </w:r>
    </w:p>
    <w:p w14:paraId="6F46F6CF" w14:textId="77777777" w:rsidR="00821675" w:rsidRDefault="00821675" w:rsidP="00210A74">
      <w:pPr>
        <w:spacing w:after="0" w:line="240" w:lineRule="auto"/>
        <w:rPr>
          <w:sz w:val="24"/>
          <w:szCs w:val="24"/>
        </w:rPr>
      </w:pPr>
    </w:p>
    <w:p w14:paraId="783CC6C7" w14:textId="77777777" w:rsidR="00BB7186" w:rsidRDefault="00BB7186" w:rsidP="00210A74">
      <w:pPr>
        <w:spacing w:after="0" w:line="240" w:lineRule="auto"/>
        <w:rPr>
          <w:b/>
          <w:sz w:val="24"/>
          <w:szCs w:val="24"/>
        </w:rPr>
      </w:pPr>
    </w:p>
    <w:p w14:paraId="10774E0D" w14:textId="77777777" w:rsidR="00210A74" w:rsidRPr="00821675" w:rsidRDefault="00210A74" w:rsidP="00210A74">
      <w:pPr>
        <w:spacing w:after="0" w:line="240" w:lineRule="auto"/>
        <w:rPr>
          <w:b/>
          <w:sz w:val="24"/>
          <w:szCs w:val="24"/>
        </w:rPr>
      </w:pPr>
      <w:r w:rsidRPr="00821675">
        <w:rPr>
          <w:b/>
          <w:sz w:val="24"/>
          <w:szCs w:val="24"/>
        </w:rPr>
        <w:t xml:space="preserve">Başvuranın Adı Soyadı </w:t>
      </w:r>
    </w:p>
    <w:p w14:paraId="4BF9FCF3" w14:textId="77777777" w:rsidR="00210A74" w:rsidRPr="000404ED" w:rsidRDefault="00210A74" w:rsidP="00210A74">
      <w:pPr>
        <w:spacing w:after="0" w:line="240" w:lineRule="auto"/>
        <w:rPr>
          <w:sz w:val="24"/>
          <w:szCs w:val="24"/>
        </w:rPr>
      </w:pPr>
    </w:p>
    <w:p w14:paraId="5069C0E8" w14:textId="77777777" w:rsidR="00210A74" w:rsidRDefault="00210A74" w:rsidP="00210A74">
      <w:pPr>
        <w:spacing w:after="0" w:line="240" w:lineRule="auto"/>
        <w:rPr>
          <w:sz w:val="24"/>
          <w:szCs w:val="24"/>
        </w:rPr>
      </w:pPr>
    </w:p>
    <w:p w14:paraId="041A5AD4" w14:textId="77777777" w:rsidR="00821675" w:rsidRDefault="00821675" w:rsidP="00210A74">
      <w:pPr>
        <w:spacing w:after="0" w:line="240" w:lineRule="auto"/>
        <w:rPr>
          <w:sz w:val="24"/>
          <w:szCs w:val="24"/>
        </w:rPr>
      </w:pPr>
    </w:p>
    <w:p w14:paraId="660C2306" w14:textId="77777777" w:rsidR="00821675" w:rsidRPr="000404ED" w:rsidRDefault="00821675" w:rsidP="00210A74">
      <w:pPr>
        <w:spacing w:after="0" w:line="240" w:lineRule="auto"/>
        <w:rPr>
          <w:sz w:val="24"/>
          <w:szCs w:val="24"/>
        </w:rPr>
      </w:pPr>
    </w:p>
    <w:p w14:paraId="7AA88148" w14:textId="77777777" w:rsidR="00210A74" w:rsidRPr="00821675" w:rsidRDefault="00210A74" w:rsidP="00210A74">
      <w:pPr>
        <w:spacing w:after="0" w:line="240" w:lineRule="auto"/>
        <w:rPr>
          <w:b/>
          <w:sz w:val="24"/>
          <w:szCs w:val="24"/>
        </w:rPr>
      </w:pPr>
      <w:r w:rsidRPr="00821675">
        <w:rPr>
          <w:b/>
          <w:sz w:val="24"/>
          <w:szCs w:val="24"/>
        </w:rPr>
        <w:t xml:space="preserve">İmza </w:t>
      </w:r>
    </w:p>
    <w:p w14:paraId="2D74B1C6" w14:textId="77777777" w:rsidR="00210A74" w:rsidRPr="000404ED" w:rsidRDefault="00210A74" w:rsidP="00210A74">
      <w:pPr>
        <w:spacing w:after="0" w:line="240" w:lineRule="auto"/>
        <w:rPr>
          <w:sz w:val="24"/>
          <w:szCs w:val="24"/>
        </w:rPr>
      </w:pPr>
    </w:p>
    <w:p w14:paraId="70D4D41D" w14:textId="77777777" w:rsidR="00210A74" w:rsidRPr="000404ED" w:rsidRDefault="00210A74" w:rsidP="00210A74">
      <w:pPr>
        <w:spacing w:after="0" w:line="240" w:lineRule="auto"/>
        <w:rPr>
          <w:sz w:val="24"/>
          <w:szCs w:val="24"/>
        </w:rPr>
      </w:pPr>
    </w:p>
    <w:p w14:paraId="2FDA5EE9" w14:textId="5BDEA9BA" w:rsidR="00210A74" w:rsidRDefault="00976F03" w:rsidP="00210A7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Diğer Yazar 1 Adı Soyadı :                                         İmza : </w:t>
      </w:r>
    </w:p>
    <w:p w14:paraId="68C439E2" w14:textId="77777777" w:rsidR="00976F03" w:rsidRDefault="00976F03" w:rsidP="00210A74">
      <w:pPr>
        <w:spacing w:after="0" w:line="240" w:lineRule="auto"/>
        <w:rPr>
          <w:sz w:val="24"/>
          <w:szCs w:val="24"/>
        </w:rPr>
      </w:pPr>
    </w:p>
    <w:p w14:paraId="3547F3FD" w14:textId="7CEA082C" w:rsidR="00976F03" w:rsidRDefault="00976F03" w:rsidP="00976F0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Diğer Yazar 2 Adı Soyadı :                                         İmza : </w:t>
      </w:r>
    </w:p>
    <w:p w14:paraId="14B505FB" w14:textId="109B6A41" w:rsidR="00976F03" w:rsidRDefault="00976F03" w:rsidP="00210A74">
      <w:pPr>
        <w:spacing w:after="0" w:line="240" w:lineRule="auto"/>
        <w:rPr>
          <w:sz w:val="24"/>
          <w:szCs w:val="24"/>
        </w:rPr>
      </w:pPr>
    </w:p>
    <w:p w14:paraId="2E07B57C" w14:textId="2C1D1230" w:rsidR="00976F03" w:rsidRDefault="00976F03" w:rsidP="00976F0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Diğer Yazar 3 Adı Soyadı :                                         İmza : </w:t>
      </w:r>
    </w:p>
    <w:p w14:paraId="4EA2CB82" w14:textId="77777777" w:rsidR="00BB7186" w:rsidRDefault="00BB7186" w:rsidP="00976F03">
      <w:pPr>
        <w:spacing w:after="0" w:line="240" w:lineRule="auto"/>
        <w:rPr>
          <w:sz w:val="24"/>
          <w:szCs w:val="24"/>
        </w:rPr>
      </w:pPr>
    </w:p>
    <w:p w14:paraId="6FFF4EE8" w14:textId="1DFEA083" w:rsidR="00976F03" w:rsidRDefault="00976F03" w:rsidP="00976F0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Diğer Yazar … Adı Soyadı :                                         İmza : </w:t>
      </w:r>
    </w:p>
    <w:p w14:paraId="6777EC94" w14:textId="77777777" w:rsidR="00210A74" w:rsidRPr="004C55A6" w:rsidRDefault="00210A74" w:rsidP="00CD170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7EBBE518" w14:textId="77777777" w:rsidR="00CD170E" w:rsidRPr="004C55A6" w:rsidRDefault="00CD170E" w:rsidP="00CD170E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sectPr w:rsidR="00CD170E" w:rsidRPr="004C55A6" w:rsidSect="00BF225D">
      <w:headerReference w:type="default" r:id="rId11"/>
      <w:footerReference w:type="default" r:id="rId12"/>
      <w:pgSz w:w="11906" w:h="16838"/>
      <w:pgMar w:top="1417" w:right="1417" w:bottom="1417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E6482" w14:textId="77777777" w:rsidR="00A05EF5" w:rsidRDefault="00A05EF5" w:rsidP="00571E20">
      <w:pPr>
        <w:spacing w:after="0" w:line="240" w:lineRule="auto"/>
      </w:pPr>
      <w:r>
        <w:separator/>
      </w:r>
    </w:p>
  </w:endnote>
  <w:endnote w:type="continuationSeparator" w:id="0">
    <w:p w14:paraId="19EB0D66" w14:textId="77777777" w:rsidR="00A05EF5" w:rsidRDefault="00A05EF5" w:rsidP="00571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66E90" w14:textId="77777777" w:rsidR="002F60E7" w:rsidRPr="00700F51" w:rsidRDefault="002F60E7" w:rsidP="002F60E7">
    <w:pPr>
      <w:pStyle w:val="AltBilgi"/>
      <w:jc w:val="center"/>
      <w:rPr>
        <w:rFonts w:ascii="Verdana" w:hAnsi="Verdana"/>
        <w:sz w:val="16"/>
        <w:szCs w:val="16"/>
      </w:rPr>
    </w:pPr>
    <w:r w:rsidRPr="00732129">
      <w:rPr>
        <w:rFonts w:ascii="Segoe UI" w:hAnsi="Segoe UI" w:cs="Segoe UI"/>
        <w:noProof/>
        <w:sz w:val="16"/>
        <w:szCs w:val="16"/>
        <w:shd w:val="clear" w:color="auto" w:fill="FFFFFF"/>
      </w:rPr>
      <w:t>Altunizade Mah. Yetimhane Sk. Fettahoğlu Apt. No:14/1 Üsküdar – İstanbul / Türkiye</w:t>
    </w:r>
    <w:r w:rsidRPr="002F60E7">
      <w:rPr>
        <w:rFonts w:ascii="Segoe UI" w:hAnsi="Segoe UI" w:cs="Segoe UI"/>
        <w:noProof/>
        <w:sz w:val="16"/>
        <w:szCs w:val="16"/>
        <w:shd w:val="clear" w:color="auto" w:fill="FFFFFF"/>
      </w:rPr>
      <w:br/>
      <w:t>Tel : +90 216 550 02 23-73  | Faks : +90 216 550 02 74</w:t>
    </w:r>
    <w:r>
      <w:rPr>
        <w:rFonts w:ascii="Segoe UI" w:hAnsi="Segoe UI" w:cs="Segoe UI"/>
        <w:noProof/>
        <w:color w:val="000000"/>
        <w:sz w:val="16"/>
        <w:szCs w:val="16"/>
      </w:rPr>
      <w:t xml:space="preserve">  | </w:t>
    </w:r>
    <w:hyperlink r:id="rId1" w:history="1">
      <w:r w:rsidRPr="00031D06">
        <w:rPr>
          <w:rStyle w:val="Kpr"/>
          <w:rFonts w:ascii="Segoe UI" w:hAnsi="Segoe UI" w:cs="Segoe UI"/>
          <w:noProof/>
          <w:sz w:val="16"/>
          <w:szCs w:val="16"/>
        </w:rPr>
        <w:t>ggd@ggd.org.tr</w:t>
      </w:r>
    </w:hyperlink>
    <w:r>
      <w:rPr>
        <w:rFonts w:ascii="Segoe UI" w:hAnsi="Segoe UI" w:cs="Segoe UI"/>
        <w:noProof/>
        <w:color w:val="000000"/>
        <w:sz w:val="16"/>
        <w:szCs w:val="16"/>
      </w:rPr>
      <w:t xml:space="preserve"> | </w:t>
    </w:r>
    <w:hyperlink r:id="rId2" w:history="1">
      <w:r w:rsidRPr="00700F51">
        <w:rPr>
          <w:rStyle w:val="Kpr"/>
          <w:rFonts w:ascii="Verdana" w:hAnsi="Verdana"/>
          <w:sz w:val="16"/>
          <w:szCs w:val="16"/>
        </w:rPr>
        <w:t>www.ggd.org.tr</w:t>
      </w:r>
    </w:hyperlink>
  </w:p>
  <w:p w14:paraId="7E2C4713" w14:textId="77777777" w:rsidR="002F60E7" w:rsidRDefault="002F60E7" w:rsidP="002F60E7">
    <w:pPr>
      <w:pStyle w:val="AltBilgi"/>
    </w:pPr>
  </w:p>
  <w:p w14:paraId="03AFB006" w14:textId="77777777" w:rsidR="002F60E7" w:rsidRDefault="002F60E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8BCC9" w14:textId="77777777" w:rsidR="00A05EF5" w:rsidRDefault="00A05EF5" w:rsidP="00571E20">
      <w:pPr>
        <w:spacing w:after="0" w:line="240" w:lineRule="auto"/>
      </w:pPr>
      <w:r>
        <w:separator/>
      </w:r>
    </w:p>
  </w:footnote>
  <w:footnote w:type="continuationSeparator" w:id="0">
    <w:p w14:paraId="6FFA1D34" w14:textId="77777777" w:rsidR="00A05EF5" w:rsidRDefault="00A05EF5" w:rsidP="00571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E761D" w14:textId="77777777" w:rsidR="004C55A6" w:rsidRDefault="004C55A6" w:rsidP="004C55A6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3377585E" wp14:editId="0485E96A">
          <wp:extent cx="1036320" cy="1249293"/>
          <wp:effectExtent l="0" t="0" r="0" b="8255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GD YENİ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446" cy="1304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C62B93" w14:textId="77777777" w:rsidR="004C55A6" w:rsidRDefault="004C55A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27A5D"/>
    <w:multiLevelType w:val="hybridMultilevel"/>
    <w:tmpl w:val="269CB9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10030"/>
    <w:multiLevelType w:val="hybridMultilevel"/>
    <w:tmpl w:val="E234A3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D30A01"/>
    <w:multiLevelType w:val="hybridMultilevel"/>
    <w:tmpl w:val="70A0479E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264F83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830377">
    <w:abstractNumId w:val="2"/>
  </w:num>
  <w:num w:numId="2" w16cid:durableId="487091682">
    <w:abstractNumId w:val="1"/>
  </w:num>
  <w:num w:numId="3" w16cid:durableId="1244796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E20"/>
    <w:rsid w:val="00080C01"/>
    <w:rsid w:val="000C28DB"/>
    <w:rsid w:val="000F2175"/>
    <w:rsid w:val="001A25CA"/>
    <w:rsid w:val="001C56C3"/>
    <w:rsid w:val="001E7BE5"/>
    <w:rsid w:val="001F3E03"/>
    <w:rsid w:val="00210A74"/>
    <w:rsid w:val="00231DE1"/>
    <w:rsid w:val="00241986"/>
    <w:rsid w:val="0027138B"/>
    <w:rsid w:val="00285507"/>
    <w:rsid w:val="002A4800"/>
    <w:rsid w:val="002F0DA5"/>
    <w:rsid w:val="002F60E7"/>
    <w:rsid w:val="00467E22"/>
    <w:rsid w:val="004759DD"/>
    <w:rsid w:val="004B4FC2"/>
    <w:rsid w:val="004C55A6"/>
    <w:rsid w:val="004D2437"/>
    <w:rsid w:val="004F5BBF"/>
    <w:rsid w:val="00501A04"/>
    <w:rsid w:val="00571E20"/>
    <w:rsid w:val="005C2891"/>
    <w:rsid w:val="006675EC"/>
    <w:rsid w:val="00673502"/>
    <w:rsid w:val="006B5EBB"/>
    <w:rsid w:val="006C3AE7"/>
    <w:rsid w:val="00724135"/>
    <w:rsid w:val="00783649"/>
    <w:rsid w:val="00805EEB"/>
    <w:rsid w:val="00821675"/>
    <w:rsid w:val="008733E4"/>
    <w:rsid w:val="008A1BCA"/>
    <w:rsid w:val="008E2C92"/>
    <w:rsid w:val="008E2E85"/>
    <w:rsid w:val="008F1CA6"/>
    <w:rsid w:val="009177B5"/>
    <w:rsid w:val="00960D6D"/>
    <w:rsid w:val="00964F2C"/>
    <w:rsid w:val="00976F03"/>
    <w:rsid w:val="009A7CF1"/>
    <w:rsid w:val="00A05EF5"/>
    <w:rsid w:val="00A505EA"/>
    <w:rsid w:val="00AC6134"/>
    <w:rsid w:val="00B009D0"/>
    <w:rsid w:val="00B57243"/>
    <w:rsid w:val="00BB7186"/>
    <w:rsid w:val="00BF225D"/>
    <w:rsid w:val="00C37AE2"/>
    <w:rsid w:val="00C47004"/>
    <w:rsid w:val="00CD170E"/>
    <w:rsid w:val="00CF797E"/>
    <w:rsid w:val="00D37147"/>
    <w:rsid w:val="00D51C90"/>
    <w:rsid w:val="00D73140"/>
    <w:rsid w:val="00D81216"/>
    <w:rsid w:val="00DB47B2"/>
    <w:rsid w:val="00DC3BF3"/>
    <w:rsid w:val="00DC60F7"/>
    <w:rsid w:val="00DE0079"/>
    <w:rsid w:val="00E219D0"/>
    <w:rsid w:val="00E70445"/>
    <w:rsid w:val="00E77892"/>
    <w:rsid w:val="00EA101D"/>
    <w:rsid w:val="00EA6C93"/>
    <w:rsid w:val="00EE04B0"/>
    <w:rsid w:val="00F31EED"/>
    <w:rsid w:val="00F54953"/>
    <w:rsid w:val="00F6456E"/>
    <w:rsid w:val="00F6681B"/>
    <w:rsid w:val="00F7345A"/>
    <w:rsid w:val="00FB53BA"/>
    <w:rsid w:val="00FB7A47"/>
    <w:rsid w:val="00FC56A0"/>
    <w:rsid w:val="00FE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A5770"/>
  <w15:chartTrackingRefBased/>
  <w15:docId w15:val="{F30218AF-28B5-44BF-A025-C7E8F3768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onNotMetni">
    <w:name w:val="endnote text"/>
    <w:basedOn w:val="Normal"/>
    <w:link w:val="SonNotMetniChar"/>
    <w:uiPriority w:val="99"/>
    <w:semiHidden/>
    <w:unhideWhenUsed/>
    <w:rsid w:val="00571E20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571E20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571E20"/>
    <w:rPr>
      <w:vertAlign w:val="superscript"/>
    </w:rPr>
  </w:style>
  <w:style w:type="character" w:styleId="YerTutucuMetni">
    <w:name w:val="Placeholder Text"/>
    <w:basedOn w:val="VarsaylanParagrafYazTipi"/>
    <w:uiPriority w:val="99"/>
    <w:semiHidden/>
    <w:rsid w:val="00CD170E"/>
    <w:rPr>
      <w:color w:val="808080"/>
    </w:rPr>
  </w:style>
  <w:style w:type="table" w:styleId="AkListe-Vurgu3">
    <w:name w:val="Light List Accent 3"/>
    <w:basedOn w:val="NormalTablo"/>
    <w:uiPriority w:val="61"/>
    <w:rsid w:val="00CD170E"/>
    <w:pPr>
      <w:spacing w:after="0" w:line="240" w:lineRule="auto"/>
    </w:pPr>
    <w:rPr>
      <w:rFonts w:eastAsiaTheme="minorEastAsia"/>
      <w:lang w:eastAsia="tr-TR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TabloKlavuzu">
    <w:name w:val="Table Grid"/>
    <w:basedOn w:val="NormalTablo"/>
    <w:uiPriority w:val="39"/>
    <w:rsid w:val="00CD1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F6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F60E7"/>
  </w:style>
  <w:style w:type="paragraph" w:styleId="AltBilgi">
    <w:name w:val="footer"/>
    <w:basedOn w:val="Normal"/>
    <w:link w:val="AltBilgiChar"/>
    <w:uiPriority w:val="99"/>
    <w:unhideWhenUsed/>
    <w:rsid w:val="002F6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F60E7"/>
  </w:style>
  <w:style w:type="character" w:styleId="Kpr">
    <w:name w:val="Hyperlink"/>
    <w:rsid w:val="002F60E7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2F60E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24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4135"/>
    <w:rPr>
      <w:rFonts w:ascii="Segoe UI" w:hAnsi="Segoe UI" w:cs="Segoe UI"/>
      <w:sz w:val="18"/>
      <w:szCs w:val="18"/>
    </w:rPr>
  </w:style>
  <w:style w:type="paragraph" w:styleId="Dzeltme">
    <w:name w:val="Revision"/>
    <w:hidden/>
    <w:uiPriority w:val="99"/>
    <w:semiHidden/>
    <w:rsid w:val="004759DD"/>
    <w:pPr>
      <w:spacing w:after="0" w:line="240" w:lineRule="auto"/>
    </w:pPr>
  </w:style>
  <w:style w:type="character" w:styleId="AklamaBavurusu">
    <w:name w:val="annotation reference"/>
    <w:basedOn w:val="VarsaylanParagrafYazTipi"/>
    <w:uiPriority w:val="99"/>
    <w:semiHidden/>
    <w:unhideWhenUsed/>
    <w:rsid w:val="0028550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8550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85507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8550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855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idaguvenligikongresi.org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uhteber.ersin@ggd.org.t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gd.org.tr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gd.org.tr" TargetMode="External"/><Relationship Id="rId1" Type="http://schemas.openxmlformats.org/officeDocument/2006/relationships/hyperlink" Target="mailto:ggd@ggd.org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F9960-0077-4EB0-B21F-7B6D7AE10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948</Words>
  <Characters>5409</Characters>
  <Application>Microsoft Office Word</Application>
  <DocSecurity>0</DocSecurity>
  <Lines>45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Ender Yarsan</dc:creator>
  <cp:keywords/>
  <dc:description/>
  <cp:lastModifiedBy>Gonca Yıldız</cp:lastModifiedBy>
  <cp:revision>3</cp:revision>
  <dcterms:created xsi:type="dcterms:W3CDTF">2026-02-12T18:47:00Z</dcterms:created>
  <dcterms:modified xsi:type="dcterms:W3CDTF">2026-04-13T08:50:00Z</dcterms:modified>
</cp:coreProperties>
</file>